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C0522A"/>
          <w:spacing w:val="80"/>
          <w:sz w:val="72"/>
          <w:szCs w:val="72"/>
        </w:rPr>
        <w:t xml:space="preserve">FORGE GROUP</w:t>
      </w:r>
    </w:p>
    <w:p>
      <w:pPr>
        <w:spacing w:after="80" w:before="0"/>
        <w:jc w:val="center"/>
      </w:pPr>
      <w:r>
        <w:rPr>
          <w:rFonts w:ascii="Arial" w:cs="Arial" w:eastAsia="Arial" w:hAnsi="Arial"/>
          <w:b/>
          <w:bCs/>
          <w:color w:val="1A1A1A"/>
          <w:spacing w:val="200"/>
          <w:sz w:val="36"/>
          <w:szCs w:val="36"/>
        </w:rPr>
        <w:t xml:space="preserve">TESTA AZIENDALE</w:t>
      </w:r>
    </w:p>
    <w:p>
      <w:pPr>
        <w:spacing w:after="600" w:before="0"/>
        <w:jc w:val="center"/>
      </w:pPr>
      <w:r>
        <w:rPr>
          <w:rFonts w:ascii="Arial" w:cs="Arial" w:eastAsia="Arial" w:hAnsi="Arial"/>
          <w:i/>
          <w:iCs/>
          <w:color w:val="6B6B6B"/>
          <w:sz w:val="24"/>
          <w:szCs w:val="24"/>
        </w:rPr>
        <w:t xml:space="preserve">Documento Fondante — Anno Zero</w:t>
      </w:r>
    </w:p>
    <w:p>
      <w:pPr>
        <w:spacing w:after="800" w:before="0"/>
        <w:jc w:val="center"/>
      </w:pPr>
      <w:r>
        <w:rPr>
          <w:rFonts w:ascii="Arial" w:cs="Arial" w:eastAsia="Arial" w:hAnsi="Arial"/>
          <w:color w:val="6B6B6B"/>
          <w:sz w:val="22"/>
          <w:szCs w:val="22"/>
        </w:rPr>
        <w:t xml:space="preserve">B2B Marketing &amp; Sales Agency</w:t>
      </w:r>
    </w:p>
    <w:p>
      <w:pPr>
        <w:spacing w:after="40" w:before="0"/>
        <w:jc w:val="center"/>
      </w:pPr>
      <w:r>
        <w:rPr>
          <w:rFonts w:ascii="Arial" w:cs="Arial" w:eastAsia="Arial" w:hAnsi="Arial"/>
          <w:b/>
          <w:bCs/>
          <w:color w:val="C0522A"/>
          <w:sz w:val="22"/>
          <w:szCs w:val="22"/>
        </w:rPr>
        <w:t xml:space="preserve">Obiettivo: €1.000.000 di fatturato entro 5 anni</w:t>
      </w:r>
    </w:p>
    <w:p>
      <w:pPr>
        <w:jc w:val="center"/>
      </w:pPr>
      <w:r>
        <w:rPr>
          <w:rFonts w:ascii="Arial" w:cs="Arial" w:eastAsia="Arial" w:hAnsi="Arial"/>
          <w:color w:val="6B6B6B"/>
          <w:sz w:val="20"/>
          <w:szCs w:val="20"/>
        </w:rPr>
        <w:t xml:space="preserve">Fondazione: 2025</w:t>
      </w:r>
    </w:p>
    <w:p>
      <w:pPr>
        <w:spacing w:after="0" w:before="400"/>
      </w:pPr>
      <w:r>
        <w:t xml:space="preserve"/>
      </w:r>
    </w:p>
    <w:p>
      <w:pPr>
        <w:pBdr>
          <w:bottom w:val="single" w:color="C0522A" w:sz="4" w:space="1"/>
        </w:pBdr>
        <w:spacing w:after="200" w:before="200"/>
      </w:pPr>
      <w:r>
        <w:t xml:space="preserve"/>
      </w:r>
    </w:p>
    <w:p>
      <w:pPr>
        <w:spacing w:after="600" w:before="200"/>
        <w:jc w:val="center"/>
      </w:pPr>
      <w:r>
        <w:rPr>
          <w:rFonts w:ascii="Arial" w:cs="Arial" w:eastAsia="Arial" w:hAnsi="Arial"/>
          <w:i/>
          <w:iCs/>
          <w:color w:val="6B6B6B"/>
          <w:sz w:val="21"/>
          <w:szCs w:val="21"/>
        </w:rPr>
        <w:t xml:space="preserve">Questo documento non è un business plan. È una dichiarazione di cosa stiamo costruendo, perché lo stiamo costruendo e su cosa si regge tutto. Va riletto ogni volta che si è tentati di fare qualcosa che non ci rappresenta.</w:t>
      </w:r>
    </w:p>
    <w:p>
      <w:r>
        <w:br w:type="page"/>
      </w:r>
    </w:p>
    <w:p>
      <w:pPr>
        <w:pBdr>
          <w:bottom w:val="single" w:color="C0522A" w:sz="6" w:space="6"/>
        </w:pBdr>
        <w:spacing w:after="160" w:before="480"/>
      </w:pPr>
      <w:r>
        <w:rPr>
          <w:rFonts w:ascii="Arial" w:cs="Arial" w:eastAsia="Arial" w:hAnsi="Arial"/>
          <w:b/>
          <w:bCs/>
          <w:color w:val="1A1A1A"/>
          <w:sz w:val="36"/>
          <w:szCs w:val="36"/>
        </w:rPr>
        <w:t xml:space="preserve">1. Identità e Nome</w:t>
      </w:r>
    </w:p>
    <w:p>
      <w:pPr>
        <w:spacing w:after="120" w:before="360"/>
      </w:pPr>
      <w:r>
        <w:rPr>
          <w:rFonts w:ascii="Arial" w:cs="Arial" w:eastAsia="Arial" w:hAnsi="Arial"/>
          <w:b/>
          <w:bCs/>
          <w:color w:val="C0522A"/>
          <w:spacing w:val="40"/>
          <w:sz w:val="22"/>
          <w:szCs w:val="22"/>
        </w:rPr>
        <w:t xml:space="preserve">CHI SIAMO</w:t>
      </w:r>
    </w:p>
    <w:p>
      <w:pPr>
        <w:spacing w:after="100" w:before="60"/>
        <w:jc w:val="left"/>
      </w:pPr>
      <w:r>
        <w:rPr>
          <w:rFonts w:ascii="Arial" w:cs="Arial" w:eastAsia="Arial" w:hAnsi="Arial"/>
          <w:i w:val="false"/>
          <w:iCs w:val="false"/>
          <w:color w:val="1A1A1A"/>
          <w:sz w:val="22"/>
          <w:szCs w:val="22"/>
        </w:rPr>
        <w:t xml:space="preserve">Forge Group nasce dalla visione intrecciata di due giovani imprenditori che hanno scelto di costruire qualcosa insieme partendo da zero. Non da una rendita, non da un'eredità, non da una rete già pronta. Da zero, con disciplina, fede e una visione condivisa.</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Siamo un'agenzia giovane con un approccio che non si trova facilmente sul mercato: entriamo dentro le aziende, le affianchiamo sul serio, e costruiamo insieme i sistemi che permettono loro di crescere in modo solido e prevedibile. Non siamo fornitori — siamo alleati.</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Le competenze che portiamo sono complementari: una forte vocazione commerciale e organizzativa da un lato, una solida capacità tecnica nel marketing digitale e nella strategia dall'altro. Ma più delle competenze, è la visione a tenerci insieme — e quella è una sola.</w:t>
      </w:r>
    </w:p>
    <w:p>
      <w:pPr>
        <w:spacing w:after="0" w:before="120"/>
      </w:pPr>
      <w:r>
        <w:t xml:space="preserve"/>
      </w:r>
    </w:p>
    <w:p>
      <w:pPr>
        <w:spacing w:after="120" w:before="360"/>
      </w:pPr>
      <w:r>
        <w:rPr>
          <w:rFonts w:ascii="Arial" w:cs="Arial" w:eastAsia="Arial" w:hAnsi="Arial"/>
          <w:b/>
          <w:bCs/>
          <w:color w:val="C0522A"/>
          <w:spacing w:val="40"/>
          <w:sz w:val="22"/>
          <w:szCs w:val="22"/>
        </w:rPr>
        <w:t xml:space="preserve">IL NOME: FORGE GROUP</w:t>
      </w:r>
    </w:p>
    <w:p>
      <w:pPr>
        <w:pBdr>
          <w:left w:val="single" w:color="C0522A" w:sz="12" w:space="12"/>
        </w:pBdr>
        <w:spacing w:after="200" w:before="200"/>
        <w:ind w:left="720"/>
      </w:pPr>
      <w:r>
        <w:rPr>
          <w:rFonts w:ascii="Arial" w:cs="Arial" w:eastAsia="Arial" w:hAnsi="Arial"/>
          <w:b/>
          <w:bCs/>
          <w:i/>
          <w:iCs/>
          <w:color w:val="C0522A"/>
          <w:sz w:val="24"/>
          <w:szCs w:val="24"/>
        </w:rPr>
        <w:t xml:space="preserve">"Forge rappresenta l'unione, la forza, l'integrità, la costanza, la durabilità nel tempo — e la capacità di resistere e crescere anche quando la pressione è alta."</w:t>
      </w:r>
    </w:p>
    <w:p>
      <w:pPr>
        <w:spacing w:after="100" w:before="60"/>
        <w:jc w:val="left"/>
      </w:pPr>
      <w:r>
        <w:rPr>
          <w:rFonts w:ascii="Arial" w:cs="Arial" w:eastAsia="Arial" w:hAnsi="Arial"/>
          <w:i w:val="false"/>
          <w:iCs w:val="false"/>
          <w:color w:val="1A1A1A"/>
          <w:sz w:val="22"/>
          <w:szCs w:val="22"/>
        </w:rPr>
        <w:t xml:space="preserve">Come il metallo grezzo che viene forgiato ad alta temperatura per diventare qualcosa di solido, Forge Group nasce con lo stesso principio: metodo, carattere, e la volontà di costruire qualcosa che duri. Non per noi soli — ma con chi sceglie di camminare nella stessa direzione.</w:t>
      </w:r>
    </w:p>
    <w:p>
      <w:pPr>
        <w:spacing w:after="0" w:before="120"/>
      </w:pPr>
      <w:r>
        <w:t xml:space="preserve"/>
      </w:r>
    </w:p>
    <w:p>
      <w:pPr>
        <w:spacing w:after="120" w:before="360"/>
      </w:pPr>
      <w:r>
        <w:rPr>
          <w:rFonts w:ascii="Arial" w:cs="Arial" w:eastAsia="Arial" w:hAnsi="Arial"/>
          <w:b/>
          <w:bCs/>
          <w:color w:val="C0522A"/>
          <w:spacing w:val="40"/>
          <w:sz w:val="22"/>
          <w:szCs w:val="22"/>
        </w:rPr>
        <w:t xml:space="preserve">TAGLINE — IN DEFINIZIONE</w:t>
      </w:r>
    </w:p>
    <w:p>
      <w:pPr>
        <w:spacing w:after="100" w:before="60"/>
        <w:jc w:val="left"/>
      </w:pPr>
      <w:r>
        <w:rPr>
          <w:rFonts w:ascii="Arial" w:cs="Arial" w:eastAsia="Arial" w:hAnsi="Arial"/>
          <w:i w:val="false"/>
          <w:iCs w:val="false"/>
          <w:color w:val="1A1A1A"/>
          <w:sz w:val="22"/>
          <w:szCs w:val="22"/>
        </w:rPr>
        <w:t xml:space="preserve">La direzione è chiara: essere il partner a cui si torna nel tempo. Non un servizio che si compra e si sostituisce — una relazione che cresce insieme all'azienda del cliente.</w:t>
      </w:r>
    </w:p>
    <w:p>
      <w:r>
        <w:br w:type="page"/>
      </w:r>
    </w:p>
    <w:p>
      <w:pPr>
        <w:pBdr>
          <w:bottom w:val="single" w:color="C0522A" w:sz="6" w:space="6"/>
        </w:pBdr>
        <w:spacing w:after="160" w:before="480"/>
      </w:pPr>
      <w:r>
        <w:rPr>
          <w:rFonts w:ascii="Arial" w:cs="Arial" w:eastAsia="Arial" w:hAnsi="Arial"/>
          <w:b/>
          <w:bCs/>
          <w:color w:val="1A1A1A"/>
          <w:sz w:val="36"/>
          <w:szCs w:val="36"/>
        </w:rPr>
        <w:t xml:space="preserve">2. Visione e Missione</w:t>
      </w:r>
    </w:p>
    <w:p>
      <w:pPr>
        <w:spacing w:after="120" w:before="360"/>
      </w:pPr>
      <w:r>
        <w:rPr>
          <w:rFonts w:ascii="Arial" w:cs="Arial" w:eastAsia="Arial" w:hAnsi="Arial"/>
          <w:b/>
          <w:bCs/>
          <w:color w:val="C0522A"/>
          <w:spacing w:val="40"/>
          <w:sz w:val="22"/>
          <w:szCs w:val="22"/>
        </w:rPr>
        <w:t xml:space="preserve">LA VISIONE</w:t>
      </w:r>
    </w:p>
    <w:p>
      <w:pPr>
        <w:spacing w:after="100" w:before="60"/>
        <w:jc w:val="left"/>
      </w:pPr>
      <w:r>
        <w:rPr>
          <w:rFonts w:ascii="Arial" w:cs="Arial" w:eastAsia="Arial" w:hAnsi="Arial"/>
          <w:i w:val="false"/>
          <w:iCs w:val="false"/>
          <w:color w:val="1A1A1A"/>
          <w:sz w:val="22"/>
          <w:szCs w:val="22"/>
        </w:rPr>
        <w:t xml:space="preserve">Vogliamo costruire qualcosa che, visto dall'esterno, sembri quasi irreale — una realtà dove ognuno contribuisce con il proprio valore a uno scopo più grande, dove non si lavora per qualcuno ma con qualcuno, dove la crescita personale e quella aziendale camminano insieme.</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L'agenzia di marketing è lo strumento, non il fine. Il fine è dimostrare che esiste una via alternativa: che si può costruire qualcosa di impensabile partendo da zero, con valori genuini, e che questo può diventare un esempio concreto per chiunque voglia seguire lo stesso cammino — oggi e per le generazioni future.</w:t>
      </w:r>
    </w:p>
    <w:p>
      <w:pPr>
        <w:spacing w:after="0" w:before="100"/>
      </w:pPr>
      <w:r>
        <w:t xml:space="preserve"/>
      </w:r>
    </w:p>
    <w:p>
      <w:pPr>
        <w:pBdr>
          <w:left w:val="single" w:color="C0522A" w:sz="12" w:space="12"/>
        </w:pBdr>
        <w:spacing w:after="200" w:before="200"/>
        <w:ind w:left="720"/>
      </w:pPr>
      <w:r>
        <w:rPr>
          <w:rFonts w:ascii="Arial" w:cs="Arial" w:eastAsia="Arial" w:hAnsi="Arial"/>
          <w:b/>
          <w:bCs/>
          <w:i/>
          <w:iCs/>
          <w:color w:val="C0522A"/>
          <w:sz w:val="24"/>
          <w:szCs w:val="24"/>
        </w:rPr>
        <w:t xml:space="preserve">"Non cerchiamo chi voglia lavorare per noi. Cerchiamo chi condivida la visione e voglia costruire insieme."</w:t>
      </w:r>
    </w:p>
    <w:p>
      <w:pPr>
        <w:spacing w:after="0" w:before="120"/>
      </w:pPr>
      <w:r>
        <w:t xml:space="preserve"/>
      </w:r>
    </w:p>
    <w:p>
      <w:pPr>
        <w:spacing w:after="120" w:before="360"/>
      </w:pPr>
      <w:r>
        <w:rPr>
          <w:rFonts w:ascii="Arial" w:cs="Arial" w:eastAsia="Arial" w:hAnsi="Arial"/>
          <w:b/>
          <w:bCs/>
          <w:color w:val="C0522A"/>
          <w:spacing w:val="40"/>
          <w:sz w:val="22"/>
          <w:szCs w:val="22"/>
        </w:rPr>
        <w:t xml:space="preserve">LA MISSIONE OPERATIVA</w:t>
      </w:r>
    </w:p>
    <w:p>
      <w:pPr>
        <w:spacing w:after="100" w:before="60"/>
        <w:jc w:val="left"/>
      </w:pPr>
      <w:r>
        <w:rPr>
          <w:rFonts w:ascii="Arial" w:cs="Arial" w:eastAsia="Arial" w:hAnsi="Arial"/>
          <w:i w:val="false"/>
          <w:iCs w:val="false"/>
          <w:color w:val="1A1A1A"/>
          <w:sz w:val="22"/>
          <w:szCs w:val="22"/>
        </w:rPr>
        <w:t xml:space="preserve">Entriamo dentro le aziende clienti, analizziamo cosa le blocca, cosa impedisce loro di esprimere il pieno potenziale — e insieme costruiamo il percorso per superarlo. Non portiamo solo campagne: costruiamo sistemi. Trasformiamo realtà disorganizzate in aziende strutturate, capaci di crescere in modo autonomo e continuo.</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Il cliente arriva da noi con un'azienda nel caos, senza un metodo prevedibile, senza acquisire clienti in modo costante. Riparte con un sistema su misura, chiarezza operativa e una direzione definita.</w:t>
      </w:r>
    </w:p>
    <w:p>
      <w:pPr>
        <w:spacing w:after="0" w:before="120"/>
      </w:pPr>
      <w:r>
        <w:t xml:space="preserve"/>
      </w:r>
    </w:p>
    <w:p>
      <w:pPr>
        <w:spacing w:after="120" w:before="360"/>
      </w:pPr>
      <w:r>
        <w:rPr>
          <w:rFonts w:ascii="Arial" w:cs="Arial" w:eastAsia="Arial" w:hAnsi="Arial"/>
          <w:b/>
          <w:bCs/>
          <w:color w:val="C0522A"/>
          <w:spacing w:val="40"/>
          <w:sz w:val="22"/>
          <w:szCs w:val="22"/>
        </w:rPr>
        <w:t xml:space="preserve">L'IMPATTO CHE VOGLIAMO GENERARE</w:t>
      </w:r>
    </w:p>
    <w:p>
      <w:pPr>
        <w:spacing w:after="100" w:before="60"/>
        <w:jc w:val="left"/>
      </w:pPr>
      <w:r>
        <w:rPr>
          <w:rFonts w:ascii="Arial" w:cs="Arial" w:eastAsia="Arial" w:hAnsi="Arial"/>
          <w:i w:val="false"/>
          <w:iCs w:val="false"/>
          <w:color w:val="1A1A1A"/>
          <w:sz w:val="22"/>
          <w:szCs w:val="22"/>
        </w:rPr>
        <w:t xml:space="preserve">Vogliamo che le aziende con cui lavoriamo diventino più forti, più strutturate e più consapevoli del proprio valore. Che l'imprenditore possa finalmente concentrarsi su ciò che conta davvero per lui e per la sua azienda — invece di essere intrappolato nelle urgenze quotidiane.</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Sul piano più ampio: vogliamo creare una community di imprenditori e liberi professionisti uniti da valori condivisi — tra cui la fede — per confrontarsi e crescere insieme. L'agenzia è la testimonianza vivente che è possibile costruire qualcosa di reale partendo da zero, con integrità e con uno scopo.</w:t>
      </w:r>
    </w:p>
    <w:p>
      <w:r>
        <w:br w:type="page"/>
      </w:r>
    </w:p>
    <w:p>
      <w:pPr>
        <w:pBdr>
          <w:bottom w:val="single" w:color="C0522A" w:sz="6" w:space="6"/>
        </w:pBdr>
        <w:spacing w:after="160" w:before="480"/>
      </w:pPr>
      <w:r>
        <w:rPr>
          <w:rFonts w:ascii="Arial" w:cs="Arial" w:eastAsia="Arial" w:hAnsi="Arial"/>
          <w:b/>
          <w:bCs/>
          <w:color w:val="1A1A1A"/>
          <w:sz w:val="36"/>
          <w:szCs w:val="36"/>
        </w:rPr>
        <w:t xml:space="preserve">3. I Valori</w:t>
      </w:r>
    </w:p>
    <w:p>
      <w:pPr>
        <w:spacing w:after="100" w:before="60"/>
        <w:jc w:val="left"/>
      </w:pPr>
      <w:r>
        <w:rPr>
          <w:rFonts w:ascii="Arial" w:cs="Arial" w:eastAsia="Arial" w:hAnsi="Arial"/>
          <w:i w:val="false"/>
          <w:iCs w:val="false"/>
          <w:color w:val="1A1A1A"/>
          <w:sz w:val="22"/>
          <w:szCs w:val="22"/>
        </w:rPr>
        <w:t xml:space="preserve">Questi non sono valori esposti su una parete. Sono comportamenti quotidiani, concreti, verificabili. Guidano ogni decisione — interna ed esterna. Chi entra in contatto con Forge Group, in qualsiasi ruolo, li riconosce perché li vede in azione.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Fede &amp; Visione</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Lavorare con orientamento al risultato e con la consapevolezza che c'è un piano più grande — il che non diminuisce la responsabilità personale, ma la amplifica. Chi crede in qualcosa di più grande di sé lavora con una motivazione diversa.</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Trasparenza</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Nessuno è perfetto — e va bene così. Ciò che non è accettabile è nascondere ciò che non funziona. La trasparenza è la disponibilità a mettersi in discussione, ad ammettere un errore, a dire una cosa difficile prima che diventi un problema.</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Responsabilità</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Prendersi carico di ciò che ci appartiene — e a volte anche di ciò che non ci appartiene completamente. Rispettare la parola data. Non cercare scuse, ma soluzioni.</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Velocità</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Lenti a pensare, veloci ad agire. Un'idea che rimane idea non vale nulla. La concretezza è la misura di tutto.</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Qualità</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Se una cosa vale la pena di essere fatta, vale la pena di essere fatta bene. Non per perfezione, ma per rispetto — verso il cliente, verso il lavoro, verso sé stessi.</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Umiltà</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Non si prevale, si cresce insieme. Chi è in difficoltà si aiuta — senza aspettarsi riconoscimenti. L'umiltà non è debolezza: è la consapevolezza che nessuno arriva da solo.</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Comunicazione</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Diretta, onesta, faccia a faccia. Nessun problema rimane sotto il tappeto. La comunicazione integra non distoglie — chiarisce.</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Crescita continua</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Investire su sé stessi è una scelta che si fa anche nei momenti difficili. I limiti mentali esistono — ma si lavora per superarli, non per giustificarli.</w:t>
            </w:r>
          </w:p>
        </w:tc>
      </w:tr>
      <w:tr>
        <w:tc>
          <w:tcPr>
            <w:tcW w:type="dxa" w:w="2200"/>
            <w:tcBorders>
              <w:top w:val="single" w:color="D9D0C7" w:sz="1"/>
              <w:left w:val="single" w:color="D9D0C7" w:sz="1"/>
              <w:bottom w:val="single" w:color="D9D0C7" w:sz="1"/>
              <w:right w:val="single" w:color="D9D0C7" w:sz="1"/>
            </w:tcBorders>
            <w:shd w:fill="F2EDE8" w:val="clear"/>
            <w:tcMar>
              <w:top w:type="dxa" w:w="100"/>
              <w:left w:type="dxa" w:w="160"/>
              <w:bottom w:type="dxa" w:w="100"/>
              <w:right w:type="dxa" w:w="160"/>
            </w:tcMar>
            <w:vAlign w:val="center"/>
          </w:tcPr>
          <w:p>
            <w:r>
              <w:rPr>
                <w:rFonts w:ascii="Arial" w:cs="Arial" w:eastAsia="Arial" w:hAnsi="Arial"/>
                <w:b/>
                <w:bCs/>
                <w:color w:val="C0522A"/>
                <w:sz w:val="22"/>
                <w:szCs w:val="22"/>
              </w:rPr>
              <w:t xml:space="preserve">Integrità</w:t>
            </w:r>
          </w:p>
        </w:tc>
        <w:tc>
          <w:tcPr>
            <w:tcW w:type="dxa" w:w="71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Ciò che diciamo corrisponde a ciò che facciamo. Non scendiamo a compromessi su chi siamo — né verso i clienti, né verso i collaboratori, né verso noi stessi. L'integrità non è rigidità: è coerenza.</w:t>
            </w:r>
          </w:p>
        </w:tc>
      </w:tr>
    </w:tbl>
    <w:p>
      <w:r>
        <w:br w:type="page"/>
      </w:r>
    </w:p>
    <w:p>
      <w:pPr>
        <w:pBdr>
          <w:bottom w:val="single" w:color="C0522A" w:sz="6" w:space="6"/>
        </w:pBdr>
        <w:spacing w:after="160" w:before="480"/>
      </w:pPr>
      <w:r>
        <w:rPr>
          <w:rFonts w:ascii="Arial" w:cs="Arial" w:eastAsia="Arial" w:hAnsi="Arial"/>
          <w:b/>
          <w:bCs/>
          <w:color w:val="1A1A1A"/>
          <w:sz w:val="36"/>
          <w:szCs w:val="36"/>
        </w:rPr>
        <w:t xml:space="preserve">4. Posizionamento e Identità di Mercato</w:t>
      </w:r>
    </w:p>
    <w:p>
      <w:pPr>
        <w:spacing w:after="120" w:before="360"/>
      </w:pPr>
      <w:r>
        <w:rPr>
          <w:rFonts w:ascii="Arial" w:cs="Arial" w:eastAsia="Arial" w:hAnsi="Arial"/>
          <w:b/>
          <w:bCs/>
          <w:color w:val="C0522A"/>
          <w:spacing w:val="40"/>
          <w:sz w:val="22"/>
          <w:szCs w:val="22"/>
        </w:rPr>
        <w:t xml:space="preserve">NON UN'AGENZIA COME LE ALTRE</w:t>
      </w:r>
    </w:p>
    <w:p>
      <w:pPr>
        <w:spacing w:after="100" w:before="60"/>
        <w:jc w:val="left"/>
      </w:pPr>
      <w:r>
        <w:rPr>
          <w:rFonts w:ascii="Arial" w:cs="Arial" w:eastAsia="Arial" w:hAnsi="Arial"/>
          <w:i w:val="false"/>
          <w:iCs w:val="false"/>
          <w:color w:val="1A1A1A"/>
          <w:sz w:val="22"/>
          <w:szCs w:val="22"/>
        </w:rPr>
        <w:t xml:space="preserve">Non vendiamo campagne. Non siamo un fornitore di servizi intercambiabile. Siamo un partner operativo che entra dentro l'azienda, analizza la situazione reale e costruisce insieme al cliente il sistema per crescere — partendo dal marketing fino al processo di vendita, dalla comunicazione all'organizzazione interna.</w:t>
      </w:r>
    </w:p>
    <w:p>
      <w:pPr>
        <w:spacing w:after="0" w:before="80"/>
      </w:pPr>
      <w:r>
        <w:t xml:space="preserve"/>
      </w:r>
    </w:p>
    <w:p>
      <w:pPr>
        <w:pBdr>
          <w:left w:val="single" w:color="C0522A" w:sz="12" w:space="12"/>
        </w:pBdr>
        <w:spacing w:after="200" w:before="200"/>
        <w:ind w:left="720"/>
      </w:pPr>
      <w:r>
        <w:rPr>
          <w:rFonts w:ascii="Arial" w:cs="Arial" w:eastAsia="Arial" w:hAnsi="Arial"/>
          <w:b/>
          <w:bCs/>
          <w:i/>
          <w:iCs/>
          <w:color w:val="C0522A"/>
          <w:sz w:val="24"/>
          <w:szCs w:val="24"/>
        </w:rPr>
        <w:t xml:space="preserve">"Entriamo dentro l'azienda, analizziamo cosa la blocca, cosa le impedisce di crescere — e insieme iniziamo la scalata."</w:t>
      </w:r>
    </w:p>
    <w:p>
      <w:pPr>
        <w:spacing w:after="0" w:before="120"/>
      </w:pPr>
      <w:r>
        <w:t xml:space="preserve"/>
      </w:r>
    </w:p>
    <w:p>
      <w:pPr>
        <w:spacing w:after="120" w:before="360"/>
      </w:pPr>
      <w:r>
        <w:rPr>
          <w:rFonts w:ascii="Arial" w:cs="Arial" w:eastAsia="Arial" w:hAnsi="Arial"/>
          <w:b/>
          <w:bCs/>
          <w:color w:val="C0522A"/>
          <w:spacing w:val="40"/>
          <w:sz w:val="22"/>
          <w:szCs w:val="22"/>
        </w:rPr>
        <w:t xml:space="preserve">CLIENTE IDEALE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Fatturato minimo</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€350.000/anno</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Mercato</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B2B — focus iniziale sul settore edile/costruzioni e affini</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Prodotto/servizio</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High ticket — spesa media cliente €10.000–25.000</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Reparto commerciale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Già attivo sul territorio</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Imprenditore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Propositivo, orientato alla crescita, aperto al confronto</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Mentalità</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Pronto a investire su sé stesso e sulla propria azienda</w:t>
            </w:r>
          </w:p>
        </w:tc>
      </w:tr>
    </w:tbl>
    <w:p>
      <w:pPr>
        <w:spacing w:after="0" w:before="160"/>
      </w:pPr>
      <w:r>
        <w:t xml:space="preserve"/>
      </w:r>
    </w:p>
    <w:p>
      <w:pPr>
        <w:spacing w:after="120" w:before="360"/>
      </w:pPr>
      <w:r>
        <w:rPr>
          <w:rFonts w:ascii="Arial" w:cs="Arial" w:eastAsia="Arial" w:hAnsi="Arial"/>
          <w:b/>
          <w:bCs/>
          <w:color w:val="C0522A"/>
          <w:spacing w:val="40"/>
          <w:sz w:val="22"/>
          <w:szCs w:val="22"/>
        </w:rPr>
        <w:t xml:space="preserve">LA TRASFORMAZIONE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0C7" w:sz="1"/>
              <w:left w:val="single" w:color="D9D0C7" w:sz="1"/>
              <w:bottom w:val="single" w:color="D9D0C7" w:sz="1"/>
              <w:right w:val="single" w:color="D9D0C7" w:sz="1"/>
            </w:tcBorders>
            <w:shd w:fill="F7F4F1" w:val="clear"/>
            <w:tcMar>
              <w:top w:type="dxa" w:w="120"/>
              <w:left w:type="dxa" w:w="160"/>
              <w:bottom w:type="dxa" w:w="120"/>
              <w:right w:type="dxa" w:w="160"/>
            </w:tcMar>
          </w:tcPr>
          <w:p>
            <w:pPr>
              <w:spacing w:after="80"/>
            </w:pPr>
            <w:r>
              <w:rPr>
                <w:rFonts w:ascii="Arial" w:cs="Arial" w:eastAsia="Arial" w:hAnsi="Arial"/>
                <w:b/>
                <w:bCs/>
                <w:color w:val="6B6B6B"/>
                <w:spacing w:val="80"/>
                <w:sz w:val="20"/>
                <w:szCs w:val="20"/>
              </w:rPr>
              <w:t xml:space="preserve">PRIMA</w:t>
            </w:r>
          </w:p>
          <w:p>
            <w:pPr>
              <w:pStyle w:val="ListParagraph"/>
              <w:numPr>
                <w:ilvl w:val="0"/>
                <w:numId w:val="2"/>
              </w:numPr>
            </w:pPr>
            <w:r>
              <w:rPr>
                <w:rFonts w:ascii="Arial" w:cs="Arial" w:eastAsia="Arial" w:hAnsi="Arial"/>
                <w:color w:val="1A1A1A"/>
                <w:sz w:val="21"/>
                <w:szCs w:val="21"/>
              </w:rPr>
              <w:t xml:space="preserve">Azienda nel caos operativo</w:t>
            </w:r>
          </w:p>
          <w:p>
            <w:pPr>
              <w:pStyle w:val="ListParagraph"/>
              <w:numPr>
                <w:ilvl w:val="0"/>
                <w:numId w:val="2"/>
              </w:numPr>
            </w:pPr>
            <w:r>
              <w:rPr>
                <w:rFonts w:ascii="Arial" w:cs="Arial" w:eastAsia="Arial" w:hAnsi="Arial"/>
                <w:color w:val="1A1A1A"/>
                <w:sz w:val="21"/>
                <w:szCs w:val="21"/>
              </w:rPr>
              <w:t xml:space="preserve">Nessun sistema di acquisizione clienti</w:t>
            </w:r>
          </w:p>
          <w:p>
            <w:pPr>
              <w:pStyle w:val="ListParagraph"/>
              <w:numPr>
                <w:ilvl w:val="0"/>
                <w:numId w:val="2"/>
              </w:numPr>
            </w:pPr>
            <w:r>
              <w:rPr>
                <w:rFonts w:ascii="Arial" w:cs="Arial" w:eastAsia="Arial" w:hAnsi="Arial"/>
                <w:color w:val="1A1A1A"/>
                <w:sz w:val="21"/>
                <w:szCs w:val="21"/>
              </w:rPr>
              <w:t xml:space="preserve">Vendite imprevedibili</w:t>
            </w:r>
          </w:p>
          <w:p>
            <w:pPr>
              <w:pStyle w:val="ListParagraph"/>
              <w:numPr>
                <w:ilvl w:val="0"/>
                <w:numId w:val="2"/>
              </w:numPr>
            </w:pPr>
            <w:r>
              <w:rPr>
                <w:rFonts w:ascii="Arial" w:cs="Arial" w:eastAsia="Arial" w:hAnsi="Arial"/>
                <w:color w:val="1A1A1A"/>
                <w:sz w:val="21"/>
                <w:szCs w:val="21"/>
              </w:rPr>
              <w:t xml:space="preserve">Nessun posizionamento online</w:t>
            </w:r>
          </w:p>
          <w:p>
            <w:pPr>
              <w:pStyle w:val="ListParagraph"/>
              <w:numPr>
                <w:ilvl w:val="0"/>
                <w:numId w:val="2"/>
              </w:numPr>
            </w:pPr>
            <w:r>
              <w:rPr>
                <w:rFonts w:ascii="Arial" w:cs="Arial" w:eastAsia="Arial" w:hAnsi="Arial"/>
                <w:color w:val="1A1A1A"/>
                <w:sz w:val="21"/>
                <w:szCs w:val="21"/>
              </w:rPr>
              <w:t xml:space="preserve">Processi assenti o improvvisati</w:t>
            </w:r>
          </w:p>
          <w:p>
            <w:pPr>
              <w:pStyle w:val="ListParagraph"/>
              <w:numPr>
                <w:ilvl w:val="0"/>
                <w:numId w:val="2"/>
              </w:numPr>
            </w:pPr>
            <w:r>
              <w:rPr>
                <w:rFonts w:ascii="Arial" w:cs="Arial" w:eastAsia="Arial" w:hAnsi="Arial"/>
                <w:color w:val="1A1A1A"/>
                <w:sz w:val="21"/>
                <w:szCs w:val="21"/>
              </w:rPr>
              <w:t xml:space="preserve">Imprenditore intrappolato nell'urgenza quotidiana</w:t>
            </w:r>
          </w:p>
        </w:tc>
        <w:tc>
          <w:tcPr>
            <w:tcW w:type="dxa" w:w="4680"/>
            <w:tcBorders>
              <w:top w:val="single" w:color="D9D0C7" w:sz="1"/>
              <w:left w:val="single" w:color="D9D0C7" w:sz="1"/>
              <w:bottom w:val="single" w:color="D9D0C7" w:sz="1"/>
              <w:right w:val="single" w:color="D9D0C7" w:sz="1"/>
            </w:tcBorders>
            <w:shd w:fill="F2EDE8" w:val="clear"/>
            <w:tcMar>
              <w:top w:type="dxa" w:w="120"/>
              <w:left w:type="dxa" w:w="160"/>
              <w:bottom w:type="dxa" w:w="120"/>
              <w:right w:type="dxa" w:w="160"/>
            </w:tcMar>
          </w:tcPr>
          <w:p>
            <w:pPr>
              <w:spacing w:after="80"/>
            </w:pPr>
            <w:r>
              <w:rPr>
                <w:rFonts w:ascii="Arial" w:cs="Arial" w:eastAsia="Arial" w:hAnsi="Arial"/>
                <w:b/>
                <w:bCs/>
                <w:color w:val="C0522A"/>
                <w:spacing w:val="80"/>
                <w:sz w:val="20"/>
                <w:szCs w:val="20"/>
              </w:rPr>
              <w:t xml:space="preserve">DOPO</w:t>
            </w:r>
          </w:p>
          <w:p>
            <w:pPr>
              <w:pStyle w:val="ListParagraph"/>
              <w:numPr>
                <w:ilvl w:val="0"/>
                <w:numId w:val="2"/>
              </w:numPr>
            </w:pPr>
            <w:r>
              <w:rPr>
                <w:rFonts w:ascii="Arial" w:cs="Arial" w:eastAsia="Arial" w:hAnsi="Arial"/>
                <w:color w:val="1A1A1A"/>
                <w:sz w:val="21"/>
                <w:szCs w:val="21"/>
              </w:rPr>
              <w:t xml:space="preserve">Sistema di crescita scalabile e prevedibile</w:t>
            </w:r>
          </w:p>
          <w:p>
            <w:pPr>
              <w:pStyle w:val="ListParagraph"/>
              <w:numPr>
                <w:ilvl w:val="0"/>
                <w:numId w:val="2"/>
              </w:numPr>
            </w:pPr>
            <w:r>
              <w:rPr>
                <w:rFonts w:ascii="Arial" w:cs="Arial" w:eastAsia="Arial" w:hAnsi="Arial"/>
                <w:color w:val="1A1A1A"/>
                <w:sz w:val="21"/>
                <w:szCs w:val="21"/>
              </w:rPr>
              <w:t xml:space="preserve">Acquisizione clienti continua e strutturata</w:t>
            </w:r>
          </w:p>
          <w:p>
            <w:pPr>
              <w:pStyle w:val="ListParagraph"/>
              <w:numPr>
                <w:ilvl w:val="0"/>
                <w:numId w:val="2"/>
              </w:numPr>
            </w:pPr>
            <w:r>
              <w:rPr>
                <w:rFonts w:ascii="Arial" w:cs="Arial" w:eastAsia="Arial" w:hAnsi="Arial"/>
                <w:color w:val="1A1A1A"/>
                <w:sz w:val="21"/>
                <w:szCs w:val="21"/>
              </w:rPr>
              <w:t xml:space="preserve">Processo di vendita solido e replicabile</w:t>
            </w:r>
          </w:p>
          <w:p>
            <w:pPr>
              <w:pStyle w:val="ListParagraph"/>
              <w:numPr>
                <w:ilvl w:val="0"/>
                <w:numId w:val="2"/>
              </w:numPr>
            </w:pPr>
            <w:r>
              <w:rPr>
                <w:rFonts w:ascii="Arial" w:cs="Arial" w:eastAsia="Arial" w:hAnsi="Arial"/>
                <w:color w:val="1A1A1A"/>
                <w:sz w:val="21"/>
                <w:szCs w:val="21"/>
              </w:rPr>
              <w:t xml:space="preserve">Presenza online coerente e riconoscibile</w:t>
            </w:r>
          </w:p>
          <w:p>
            <w:pPr>
              <w:pStyle w:val="ListParagraph"/>
              <w:numPr>
                <w:ilvl w:val="0"/>
                <w:numId w:val="2"/>
              </w:numPr>
            </w:pPr>
            <w:r>
              <w:rPr>
                <w:rFonts w:ascii="Arial" w:cs="Arial" w:eastAsia="Arial" w:hAnsi="Arial"/>
                <w:color w:val="1A1A1A"/>
                <w:sz w:val="21"/>
                <w:szCs w:val="21"/>
              </w:rPr>
              <w:t xml:space="preserve">Ruoli definiti e processi aziendali chiari</w:t>
            </w:r>
          </w:p>
          <w:p>
            <w:pPr>
              <w:pStyle w:val="ListParagraph"/>
              <w:numPr>
                <w:ilvl w:val="0"/>
                <w:numId w:val="2"/>
              </w:numPr>
            </w:pPr>
            <w:r>
              <w:rPr>
                <w:rFonts w:ascii="Arial" w:cs="Arial" w:eastAsia="Arial" w:hAnsi="Arial"/>
                <w:color w:val="1A1A1A"/>
                <w:sz w:val="21"/>
                <w:szCs w:val="21"/>
              </w:rPr>
              <w:t xml:space="preserve">Imprenditore libero di guidare con visione</w:t>
            </w:r>
          </w:p>
        </w:tc>
      </w:tr>
    </w:tbl>
    <w:p>
      <w:pPr>
        <w:spacing w:after="0" w:before="160"/>
      </w:pPr>
      <w:r>
        <w:t xml:space="preserve"/>
      </w:r>
    </w:p>
    <w:p>
      <w:pPr>
        <w:spacing w:after="120" w:before="360"/>
      </w:pPr>
      <w:r>
        <w:rPr>
          <w:rFonts w:ascii="Arial" w:cs="Arial" w:eastAsia="Arial" w:hAnsi="Arial"/>
          <w:b/>
          <w:bCs/>
          <w:color w:val="C0522A"/>
          <w:spacing w:val="40"/>
          <w:sz w:val="22"/>
          <w:szCs w:val="22"/>
        </w:rPr>
        <w:t xml:space="preserve">COME VOGLIAMO ESSERE PERCEPITI</w:t>
      </w:r>
    </w:p>
    <w:p>
      <w:pPr>
        <w:spacing w:after="100" w:before="60"/>
        <w:jc w:val="left"/>
      </w:pPr>
      <w:r>
        <w:rPr>
          <w:rFonts w:ascii="Arial" w:cs="Arial" w:eastAsia="Arial" w:hAnsi="Arial"/>
          <w:i w:val="false"/>
          <w:iCs w:val="false"/>
          <w:color w:val="1A1A1A"/>
          <w:sz w:val="22"/>
          <w:szCs w:val="22"/>
        </w:rPr>
        <w:t xml:space="preserve">Tre aggettivi che guidano ogni scelta comunicativa, visiva e relazionale. Non aspirazioni — caratteristiche già presenti in ogni cosa che facciamo.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0C7" w:sz="1"/>
              <w:left w:val="single" w:color="D9D0C7" w:sz="1"/>
              <w:bottom w:val="single" w:color="D9D0C7" w:sz="1"/>
              <w:right w:val="single" w:color="D9D0C7" w:sz="1"/>
            </w:tcBorders>
            <w:shd w:fill="C0522A" w:val="clear"/>
            <w:tcMar>
              <w:top w:type="dxa" w:w="160"/>
              <w:left w:type="dxa" w:w="160"/>
              <w:bottom w:type="dxa" w:w="160"/>
              <w:right w:type="dxa" w:w="160"/>
            </w:tcMar>
          </w:tcPr>
          <w:p>
            <w:pPr>
              <w:jc w:val="center"/>
            </w:pPr>
            <w:r>
              <w:rPr>
                <w:rFonts w:ascii="Arial" w:cs="Arial" w:eastAsia="Arial" w:hAnsi="Arial"/>
                <w:b/>
                <w:bCs/>
                <w:color w:val="FFFFFF"/>
                <w:spacing w:val="120"/>
                <w:sz w:val="28"/>
                <w:szCs w:val="28"/>
              </w:rPr>
              <w:t xml:space="preserve">INTEGRA</w:t>
            </w:r>
          </w:p>
        </w:tc>
        <w:tc>
          <w:tcPr>
            <w:tcW w:type="dxa" w:w="3120"/>
            <w:tcBorders>
              <w:top w:val="single" w:color="D9D0C7" w:sz="1"/>
              <w:left w:val="single" w:color="D9D0C7" w:sz="1"/>
              <w:bottom w:val="single" w:color="D9D0C7" w:sz="1"/>
              <w:right w:val="single" w:color="D9D0C7" w:sz="1"/>
            </w:tcBorders>
            <w:shd w:fill="C0522A" w:val="clear"/>
            <w:tcMar>
              <w:top w:type="dxa" w:w="160"/>
              <w:left w:type="dxa" w:w="160"/>
              <w:bottom w:type="dxa" w:w="160"/>
              <w:right w:type="dxa" w:w="160"/>
            </w:tcMar>
          </w:tcPr>
          <w:p>
            <w:pPr>
              <w:jc w:val="center"/>
            </w:pPr>
            <w:r>
              <w:rPr>
                <w:rFonts w:ascii="Arial" w:cs="Arial" w:eastAsia="Arial" w:hAnsi="Arial"/>
                <w:b/>
                <w:bCs/>
                <w:color w:val="FFFFFF"/>
                <w:spacing w:val="120"/>
                <w:sz w:val="28"/>
                <w:szCs w:val="28"/>
              </w:rPr>
              <w:t xml:space="preserve">UNICA</w:t>
            </w:r>
          </w:p>
        </w:tc>
        <w:tc>
          <w:tcPr>
            <w:tcW w:type="dxa" w:w="3120"/>
            <w:tcBorders>
              <w:top w:val="single" w:color="D9D0C7" w:sz="1"/>
              <w:left w:val="single" w:color="D9D0C7" w:sz="1"/>
              <w:bottom w:val="single" w:color="D9D0C7" w:sz="1"/>
              <w:right w:val="single" w:color="D9D0C7" w:sz="1"/>
            </w:tcBorders>
            <w:shd w:fill="C0522A" w:val="clear"/>
            <w:tcMar>
              <w:top w:type="dxa" w:w="160"/>
              <w:left w:type="dxa" w:w="160"/>
              <w:bottom w:type="dxa" w:w="160"/>
              <w:right w:type="dxa" w:w="160"/>
            </w:tcMar>
          </w:tcPr>
          <w:p>
            <w:pPr>
              <w:jc w:val="center"/>
            </w:pPr>
            <w:r>
              <w:rPr>
                <w:rFonts w:ascii="Arial" w:cs="Arial" w:eastAsia="Arial" w:hAnsi="Arial"/>
                <w:b/>
                <w:bCs/>
                <w:color w:val="FFFFFF"/>
                <w:spacing w:val="120"/>
                <w:sz w:val="28"/>
                <w:szCs w:val="28"/>
              </w:rPr>
              <w:t xml:space="preserve">VERA</w:t>
            </w:r>
          </w:p>
        </w:tc>
      </w:tr>
    </w:tbl>
    <w:p>
      <w:r>
        <w:br w:type="page"/>
      </w:r>
    </w:p>
    <w:p>
      <w:pPr>
        <w:pBdr>
          <w:bottom w:val="single" w:color="C0522A" w:sz="6" w:space="6"/>
        </w:pBdr>
        <w:spacing w:after="160" w:before="480"/>
      </w:pPr>
      <w:r>
        <w:rPr>
          <w:rFonts w:ascii="Arial" w:cs="Arial" w:eastAsia="Arial" w:hAnsi="Arial"/>
          <w:b/>
          <w:bCs/>
          <w:color w:val="1A1A1A"/>
          <w:sz w:val="36"/>
          <w:szCs w:val="36"/>
        </w:rPr>
        <w:t xml:space="preserve">5. Offerta e Metodo di Lavoro</w:t>
      </w:r>
    </w:p>
    <w:p>
      <w:pPr>
        <w:spacing w:after="120" w:before="360"/>
      </w:pPr>
      <w:r>
        <w:rPr>
          <w:rFonts w:ascii="Arial" w:cs="Arial" w:eastAsia="Arial" w:hAnsi="Arial"/>
          <w:b/>
          <w:bCs/>
          <w:color w:val="C0522A"/>
          <w:spacing w:val="40"/>
          <w:sz w:val="22"/>
          <w:szCs w:val="22"/>
        </w:rPr>
        <w:t xml:space="preserve">I TRE LIVELLI DI SERVIZIO</w:t>
      </w:r>
    </w:p>
    <w:p>
      <w:pPr>
        <w:spacing w:after="0" w:before="80"/>
      </w:pPr>
      <w:r>
        <w:t xml:space="preserve"/>
      </w:r>
    </w:p>
    <w:p>
      <w:pPr>
        <w:spacing w:after="80" w:before="240"/>
      </w:pPr>
      <w:r>
        <w:rPr>
          <w:rFonts w:ascii="Arial" w:cs="Arial" w:eastAsia="Arial" w:hAnsi="Arial"/>
          <w:b/>
          <w:bCs/>
          <w:color w:val="1A1A1A"/>
          <w:sz w:val="24"/>
          <w:szCs w:val="24"/>
        </w:rPr>
        <w:t xml:space="preserve">Livello 1 — Acquisizione Clienti</w:t>
      </w:r>
    </w:p>
    <w:p>
      <w:pPr>
        <w:spacing w:after="100" w:before="60"/>
        <w:jc w:val="left"/>
      </w:pPr>
      <w:r>
        <w:rPr>
          <w:rFonts w:ascii="Arial" w:cs="Arial" w:eastAsia="Arial" w:hAnsi="Arial"/>
          <w:i w:val="false"/>
          <w:iCs w:val="false"/>
          <w:color w:val="1A1A1A"/>
          <w:sz w:val="22"/>
          <w:szCs w:val="22"/>
        </w:rPr>
        <w:t xml:space="preserve">Gestione social (Instagram, Facebook, LinkedIn, YouTube), campagne di sponsorizzazione Meta Ads e Google Ads, creazione contenuti, ottimizzazione pagine social, creazione sito web, posizionamento online, lead generation, landing page, funnel di acquisizione e nurturing.</w:t>
      </w:r>
    </w:p>
    <w:p>
      <w:pPr>
        <w:spacing w:after="0" w:before="80"/>
      </w:pPr>
      <w:r>
        <w:t xml:space="preserve"/>
      </w:r>
    </w:p>
    <w:p>
      <w:pPr>
        <w:spacing w:after="80" w:before="240"/>
      </w:pPr>
      <w:r>
        <w:rPr>
          <w:rFonts w:ascii="Arial" w:cs="Arial" w:eastAsia="Arial" w:hAnsi="Arial"/>
          <w:b/>
          <w:bCs/>
          <w:color w:val="1A1A1A"/>
          <w:sz w:val="24"/>
          <w:szCs w:val="24"/>
        </w:rPr>
        <w:t xml:space="preserve">Livello 2 — Vendite e Processo Commerciale</w:t>
      </w:r>
    </w:p>
    <w:p>
      <w:pPr>
        <w:spacing w:after="100" w:before="60"/>
        <w:jc w:val="left"/>
      </w:pPr>
      <w:r>
        <w:rPr>
          <w:rFonts w:ascii="Arial" w:cs="Arial" w:eastAsia="Arial" w:hAnsi="Arial"/>
          <w:i w:val="false"/>
          <w:iCs w:val="false"/>
          <w:color w:val="1A1A1A"/>
          <w:sz w:val="22"/>
          <w:szCs w:val="22"/>
        </w:rPr>
        <w:t xml:space="preserve">Script di vendita, follow-up, materiale commerciale, CRM, gestione e automatizzazione processi aziendali, gestione del lead dal primo contatto fino alla firma del contratto. Formazione e supporto continuativo al reparto commerciale con videochiamata settimanale dedicata.</w:t>
      </w:r>
    </w:p>
    <w:p>
      <w:pPr>
        <w:spacing w:after="0" w:before="80"/>
      </w:pPr>
      <w:r>
        <w:t xml:space="preserve"/>
      </w:r>
    </w:p>
    <w:p>
      <w:pPr>
        <w:spacing w:after="80" w:before="240"/>
      </w:pPr>
      <w:r>
        <w:rPr>
          <w:rFonts w:ascii="Arial" w:cs="Arial" w:eastAsia="Arial" w:hAnsi="Arial"/>
          <w:b/>
          <w:bCs/>
          <w:color w:val="1A1A1A"/>
          <w:sz w:val="24"/>
          <w:szCs w:val="24"/>
        </w:rPr>
        <w:t xml:space="preserve">Livello 3 — Consulenza Strategica</w:t>
      </w:r>
    </w:p>
    <w:p>
      <w:pPr>
        <w:spacing w:after="100" w:before="60"/>
        <w:jc w:val="left"/>
      </w:pPr>
      <w:r>
        <w:rPr>
          <w:rFonts w:ascii="Arial" w:cs="Arial" w:eastAsia="Arial" w:hAnsi="Arial"/>
          <w:i w:val="false"/>
          <w:iCs w:val="false"/>
          <w:color w:val="1A1A1A"/>
          <w:sz w:val="22"/>
          <w:szCs w:val="22"/>
        </w:rPr>
        <w:t xml:space="preserve">Report trimestrali sull'andamento delle ads e dei profili social, strategie di marketing e acquisizione clienti, pianificazione aziendale di crescita, analisi dei dati, ridefinizione dei processi interni.</w:t>
      </w:r>
    </w:p>
    <w:p>
      <w:pPr>
        <w:spacing w:after="0" w:before="160"/>
      </w:pPr>
      <w:r>
        <w:t xml:space="preserve"/>
      </w:r>
    </w:p>
    <w:p>
      <w:pPr>
        <w:spacing w:after="120" w:before="360"/>
      </w:pPr>
      <w:r>
        <w:rPr>
          <w:rFonts w:ascii="Arial" w:cs="Arial" w:eastAsia="Arial" w:hAnsi="Arial"/>
          <w:b/>
          <w:bCs/>
          <w:color w:val="C0522A"/>
          <w:spacing w:val="40"/>
          <w:sz w:val="22"/>
          <w:szCs w:val="22"/>
        </w:rPr>
        <w:t xml:space="preserve">IL PROCESSO DI ONBOARDING</w:t>
      </w:r>
    </w:p>
    <w:p>
      <w:pPr>
        <w:spacing w:after="100" w:before="60"/>
        <w:jc w:val="left"/>
      </w:pPr>
      <w:r>
        <w:rPr>
          <w:rFonts w:ascii="Arial" w:cs="Arial" w:eastAsia="Arial" w:hAnsi="Arial"/>
          <w:i w:val="false"/>
          <w:iCs w:val="false"/>
          <w:color w:val="1A1A1A"/>
          <w:sz w:val="22"/>
          <w:szCs w:val="22"/>
        </w:rPr>
        <w:t xml:space="preserve">Prima che qualsiasi campagna venga lanciata, ogni cliente attraversa un percorso strutturato che parte dall'interno dell'azienda — non dall'esterno:</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Email di benvenuto con contratto e fattura</w:t>
      </w:r>
    </w:p>
    <w:p>
      <w:pPr>
        <w:pStyle w:val="ListParagraph"/>
        <w:numPr>
          <w:ilvl w:val="0"/>
          <w:numId w:val="2"/>
        </w:numPr>
        <w:spacing w:after="60" w:before="60"/>
      </w:pPr>
      <w:r>
        <w:rPr>
          <w:rFonts w:ascii="Arial" w:cs="Arial" w:eastAsia="Arial" w:hAnsi="Arial"/>
          <w:color w:val="1A1A1A"/>
          <w:sz w:val="22"/>
          <w:szCs w:val="22"/>
        </w:rPr>
        <w:t xml:space="preserve">Onboarding 1 — analisi commerciale: processo di vendita attuale, ruoli, gestione dei lead oggi</w:t>
      </w:r>
    </w:p>
    <w:p>
      <w:pPr>
        <w:pStyle w:val="ListParagraph"/>
        <w:numPr>
          <w:ilvl w:val="0"/>
          <w:numId w:val="2"/>
        </w:numPr>
        <w:spacing w:after="60" w:before="60"/>
      </w:pPr>
      <w:r>
        <w:rPr>
          <w:rFonts w:ascii="Arial" w:cs="Arial" w:eastAsia="Arial" w:hAnsi="Arial"/>
          <w:color w:val="1A1A1A"/>
          <w:sz w:val="22"/>
          <w:szCs w:val="22"/>
        </w:rPr>
        <w:t xml:space="preserve">Onboarding 2 — rielaborazione strategica: identificazione dei blocchi, definizione del sistema</w:t>
      </w:r>
    </w:p>
    <w:p>
      <w:pPr>
        <w:pStyle w:val="ListParagraph"/>
        <w:numPr>
          <w:ilvl w:val="0"/>
          <w:numId w:val="2"/>
        </w:numPr>
        <w:spacing w:after="60" w:before="60"/>
      </w:pPr>
      <w:r>
        <w:rPr>
          <w:rFonts w:ascii="Arial" w:cs="Arial" w:eastAsia="Arial" w:hAnsi="Arial"/>
          <w:color w:val="1A1A1A"/>
          <w:sz w:val="22"/>
          <w:szCs w:val="22"/>
        </w:rPr>
        <w:t xml:space="preserve">Onboarding 3 — definizione operativa: materiali, script, processi e strumenti da implementare</w:t>
      </w:r>
    </w:p>
    <w:p>
      <w:pPr>
        <w:pStyle w:val="ListParagraph"/>
        <w:numPr>
          <w:ilvl w:val="0"/>
          <w:numId w:val="2"/>
        </w:numPr>
        <w:spacing w:after="60" w:before="60"/>
      </w:pPr>
      <w:r>
        <w:rPr>
          <w:rFonts w:ascii="Arial" w:cs="Arial" w:eastAsia="Arial" w:hAnsi="Arial"/>
          <w:color w:val="1A1A1A"/>
          <w:sz w:val="22"/>
          <w:szCs w:val="22"/>
        </w:rPr>
        <w:t xml:space="preserve">Ricerca di mercato e analisi dei competitor</w:t>
      </w:r>
    </w:p>
    <w:p>
      <w:pPr>
        <w:pStyle w:val="ListParagraph"/>
        <w:numPr>
          <w:ilvl w:val="0"/>
          <w:numId w:val="2"/>
        </w:numPr>
        <w:spacing w:after="60" w:before="60"/>
      </w:pPr>
      <w:r>
        <w:rPr>
          <w:rFonts w:ascii="Arial" w:cs="Arial" w:eastAsia="Arial" w:hAnsi="Arial"/>
          <w:color w:val="1A1A1A"/>
          <w:sz w:val="22"/>
          <w:szCs w:val="22"/>
        </w:rPr>
        <w:t xml:space="preserve">Creazione materiali commerciali: script di prequalifica, chiamata, appuntamento, gestione obiezioni, follow-up</w:t>
      </w:r>
    </w:p>
    <w:p>
      <w:pPr>
        <w:pStyle w:val="ListParagraph"/>
        <w:numPr>
          <w:ilvl w:val="0"/>
          <w:numId w:val="2"/>
        </w:numPr>
        <w:spacing w:after="60" w:before="60"/>
      </w:pPr>
      <w:r>
        <w:rPr>
          <w:rFonts w:ascii="Arial" w:cs="Arial" w:eastAsia="Arial" w:hAnsi="Arial"/>
          <w:color w:val="1A1A1A"/>
          <w:sz w:val="22"/>
          <w:szCs w:val="22"/>
        </w:rPr>
        <w:t xml:space="preserve">Ottimizzazione pagine social e creazione grafiche e video</w:t>
      </w:r>
    </w:p>
    <w:p>
      <w:pPr>
        <w:pStyle w:val="ListParagraph"/>
        <w:numPr>
          <w:ilvl w:val="0"/>
          <w:numId w:val="2"/>
        </w:numPr>
        <w:spacing w:after="60" w:before="60"/>
      </w:pPr>
      <w:r>
        <w:rPr>
          <w:rFonts w:ascii="Arial" w:cs="Arial" w:eastAsia="Arial" w:hAnsi="Arial"/>
          <w:color w:val="1A1A1A"/>
          <w:sz w:val="22"/>
          <w:szCs w:val="22"/>
        </w:rPr>
        <w:t xml:space="preserve">Avvio campagne di sponsorizzazione con monitoraggio costante</w:t>
      </w:r>
    </w:p>
    <w:p>
      <w:pPr>
        <w:pStyle w:val="ListParagraph"/>
        <w:numPr>
          <w:ilvl w:val="0"/>
          <w:numId w:val="2"/>
        </w:numPr>
        <w:spacing w:after="60" w:before="60"/>
      </w:pPr>
      <w:r>
        <w:rPr>
          <w:rFonts w:ascii="Arial" w:cs="Arial" w:eastAsia="Arial" w:hAnsi="Arial"/>
          <w:color w:val="1A1A1A"/>
          <w:sz w:val="22"/>
          <w:szCs w:val="22"/>
        </w:rPr>
        <w:t xml:space="preserve">Report trimestrale — andamento ads e profili social</w:t>
      </w:r>
    </w:p>
    <w:p>
      <w:pPr>
        <w:pStyle w:val="ListParagraph"/>
        <w:numPr>
          <w:ilvl w:val="0"/>
          <w:numId w:val="2"/>
        </w:numPr>
        <w:spacing w:after="60" w:before="60"/>
      </w:pPr>
      <w:r>
        <w:rPr>
          <w:rFonts w:ascii="Arial" w:cs="Arial" w:eastAsia="Arial" w:hAnsi="Arial"/>
          <w:color w:val="1A1A1A"/>
          <w:sz w:val="22"/>
          <w:szCs w:val="22"/>
        </w:rPr>
        <w:t xml:space="preserve">Videochiamata settimanale — formazione e supporto commerciale</w:t>
      </w:r>
    </w:p>
    <w:p>
      <w:pPr>
        <w:spacing w:after="0" w:before="160"/>
      </w:pPr>
      <w:r>
        <w:t xml:space="preserve"/>
      </w:r>
    </w:p>
    <w:p>
      <w:pPr>
        <w:spacing w:after="120" w:before="360"/>
      </w:pPr>
      <w:r>
        <w:rPr>
          <w:rFonts w:ascii="Arial" w:cs="Arial" w:eastAsia="Arial" w:hAnsi="Arial"/>
          <w:b/>
          <w:bCs/>
          <w:color w:val="C0522A"/>
          <w:spacing w:val="40"/>
          <w:sz w:val="22"/>
          <w:szCs w:val="22"/>
        </w:rPr>
        <w:t xml:space="preserve">MODELLO DI PRICING</w:t>
      </w:r>
    </w:p>
    <w:p>
      <w:pPr>
        <w:spacing w:after="100" w:before="60"/>
        <w:jc w:val="left"/>
      </w:pPr>
      <w:r>
        <w:rPr>
          <w:rFonts w:ascii="Arial" w:cs="Arial" w:eastAsia="Arial" w:hAnsi="Arial"/>
          <w:i w:val="false"/>
          <w:iCs w:val="false"/>
          <w:color w:val="1A1A1A"/>
          <w:sz w:val="22"/>
          <w:szCs w:val="22"/>
        </w:rPr>
        <w:t xml:space="preserve">Il prezzo nasce da un calcolo preciso: costo orario di struttura (€20-22/ora) moltiplicato per le ore necessarie al progetto, con un margine tra il 15% e il 25%. L'obiettivo nel tempo è portare il margine al 70%, in linea con le agenzie di riferimento del settore.</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Ticket medio nella fase di lancio: €1.000–1.500/mese — una scelta consapevole per costruire casi studio e video recensioni reali. Il ticket crescerà progressivamente con la reputazione.</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Per alcuni clienti strategici, oltre al fisso mensile viene concordata una provvigione sul fatturato generato — allineando il nostro interesse economico a quello del cliente.</w:t>
      </w:r>
    </w:p>
    <w:p>
      <w:r>
        <w:br w:type="page"/>
      </w:r>
    </w:p>
    <w:p>
      <w:pPr>
        <w:pBdr>
          <w:bottom w:val="single" w:color="C0522A" w:sz="6" w:space="6"/>
        </w:pBdr>
        <w:spacing w:after="160" w:before="480"/>
      </w:pPr>
      <w:r>
        <w:rPr>
          <w:rFonts w:ascii="Arial" w:cs="Arial" w:eastAsia="Arial" w:hAnsi="Arial"/>
          <w:b/>
          <w:bCs/>
          <w:color w:val="1A1A1A"/>
          <w:sz w:val="36"/>
          <w:szCs w:val="36"/>
        </w:rPr>
        <w:t xml:space="preserve">6. I Confini — Cosa Non Siamo</w:t>
      </w:r>
    </w:p>
    <w:p>
      <w:pPr>
        <w:spacing w:after="120" w:before="360"/>
      </w:pPr>
      <w:r>
        <w:rPr>
          <w:rFonts w:ascii="Arial" w:cs="Arial" w:eastAsia="Arial" w:hAnsi="Arial"/>
          <w:b/>
          <w:bCs/>
          <w:color w:val="C0522A"/>
          <w:spacing w:val="40"/>
          <w:sz w:val="22"/>
          <w:szCs w:val="22"/>
        </w:rPr>
        <w:t xml:space="preserve">CLIENTI CON CUI NON LAVORIAMO</w:t>
      </w:r>
    </w:p>
    <w:p>
      <w:pPr>
        <w:pStyle w:val="ListParagraph"/>
        <w:numPr>
          <w:ilvl w:val="0"/>
          <w:numId w:val="2"/>
        </w:numPr>
        <w:spacing w:after="60" w:before="60"/>
      </w:pPr>
      <w:r>
        <w:rPr>
          <w:rFonts w:ascii="Arial" w:cs="Arial" w:eastAsia="Arial" w:hAnsi="Arial"/>
          <w:color w:val="1A1A1A"/>
          <w:sz w:val="22"/>
          <w:szCs w:val="22"/>
        </w:rPr>
        <w:t xml:space="preserve">Chi vuole risultati senza essere disposto a investire su sé stesso e sulla propria azienda</w:t>
      </w:r>
    </w:p>
    <w:p>
      <w:pPr>
        <w:pStyle w:val="ListParagraph"/>
        <w:numPr>
          <w:ilvl w:val="0"/>
          <w:numId w:val="2"/>
        </w:numPr>
        <w:spacing w:after="60" w:before="60"/>
      </w:pPr>
      <w:r>
        <w:rPr>
          <w:rFonts w:ascii="Arial" w:cs="Arial" w:eastAsia="Arial" w:hAnsi="Arial"/>
          <w:color w:val="1A1A1A"/>
          <w:sz w:val="22"/>
          <w:szCs w:val="22"/>
        </w:rPr>
        <w:t xml:space="preserve">Chi pensa di sapere già tutto e non è aperto al confronto</w:t>
      </w:r>
    </w:p>
    <w:p>
      <w:pPr>
        <w:pStyle w:val="ListParagraph"/>
        <w:numPr>
          <w:ilvl w:val="0"/>
          <w:numId w:val="2"/>
        </w:numPr>
        <w:spacing w:after="60" w:before="60"/>
      </w:pPr>
      <w:r>
        <w:rPr>
          <w:rFonts w:ascii="Arial" w:cs="Arial" w:eastAsia="Arial" w:hAnsi="Arial"/>
          <w:color w:val="1A1A1A"/>
          <w:sz w:val="22"/>
          <w:szCs w:val="22"/>
        </w:rPr>
        <w:t xml:space="preserve">Chi non rispetta quanto pattuito — nei tempi e negli importi</w:t>
      </w:r>
    </w:p>
    <w:p>
      <w:pPr>
        <w:pStyle w:val="ListParagraph"/>
        <w:numPr>
          <w:ilvl w:val="0"/>
          <w:numId w:val="2"/>
        </w:numPr>
        <w:spacing w:after="60" w:before="60"/>
      </w:pPr>
      <w:r>
        <w:rPr>
          <w:rFonts w:ascii="Arial" w:cs="Arial" w:eastAsia="Arial" w:hAnsi="Arial"/>
          <w:color w:val="1A1A1A"/>
          <w:sz w:val="22"/>
          <w:szCs w:val="22"/>
        </w:rPr>
        <w:t xml:space="preserve">Chi porta anti-valori: arroganza, disonestà, mancanza di rispetto verso le persone</w:t>
      </w:r>
    </w:p>
    <w:p>
      <w:pPr>
        <w:pStyle w:val="ListParagraph"/>
        <w:numPr>
          <w:ilvl w:val="0"/>
          <w:numId w:val="2"/>
        </w:numPr>
        <w:spacing w:after="60" w:before="60"/>
      </w:pPr>
      <w:r>
        <w:rPr>
          <w:rFonts w:ascii="Arial" w:cs="Arial" w:eastAsia="Arial" w:hAnsi="Arial"/>
          <w:color w:val="1A1A1A"/>
          <w:sz w:val="22"/>
          <w:szCs w:val="22"/>
        </w:rPr>
        <w:t xml:space="preserve">Chi ha una mentalità provinciale e non vede oltre il breve termine</w:t>
      </w:r>
    </w:p>
    <w:p>
      <w:pPr>
        <w:spacing w:after="0" w:before="120"/>
      </w:pPr>
      <w:r>
        <w:t xml:space="preserve"/>
      </w:r>
    </w:p>
    <w:p>
      <w:pPr>
        <w:spacing w:after="120" w:before="360"/>
      </w:pPr>
      <w:r>
        <w:rPr>
          <w:rFonts w:ascii="Arial" w:cs="Arial" w:eastAsia="Arial" w:hAnsi="Arial"/>
          <w:b/>
          <w:bCs/>
          <w:color w:val="C0522A"/>
          <w:spacing w:val="40"/>
          <w:sz w:val="22"/>
          <w:szCs w:val="22"/>
        </w:rPr>
        <w:t xml:space="preserve">LAVORI CHE NON ACCETTIAMO</w:t>
      </w:r>
    </w:p>
    <w:p>
      <w:pPr>
        <w:pStyle w:val="ListParagraph"/>
        <w:numPr>
          <w:ilvl w:val="0"/>
          <w:numId w:val="2"/>
        </w:numPr>
        <w:spacing w:after="60" w:before="60"/>
      </w:pPr>
      <w:r>
        <w:rPr>
          <w:rFonts w:ascii="Arial" w:cs="Arial" w:eastAsia="Arial" w:hAnsi="Arial"/>
          <w:color w:val="1A1A1A"/>
          <w:sz w:val="22"/>
          <w:szCs w:val="22"/>
        </w:rPr>
        <w:t xml:space="preserve">Lavori non coerenti con la nostra visione e i nostri servizi</w:t>
      </w:r>
    </w:p>
    <w:p>
      <w:pPr>
        <w:pStyle w:val="ListParagraph"/>
        <w:numPr>
          <w:ilvl w:val="0"/>
          <w:numId w:val="2"/>
        </w:numPr>
        <w:spacing w:after="60" w:before="60"/>
      </w:pPr>
      <w:r>
        <w:rPr>
          <w:rFonts w:ascii="Arial" w:cs="Arial" w:eastAsia="Arial" w:hAnsi="Arial"/>
          <w:color w:val="1A1A1A"/>
          <w:sz w:val="22"/>
          <w:szCs w:val="22"/>
        </w:rPr>
        <w:t xml:space="preserve">Lavori non adeguatamente remunerati rispetto al valore che portiamo</w:t>
      </w:r>
    </w:p>
    <w:p>
      <w:pPr>
        <w:pStyle w:val="ListParagraph"/>
        <w:numPr>
          <w:ilvl w:val="0"/>
          <w:numId w:val="2"/>
        </w:numPr>
        <w:spacing w:after="60" w:before="60"/>
      </w:pPr>
      <w:r>
        <w:rPr>
          <w:rFonts w:ascii="Arial" w:cs="Arial" w:eastAsia="Arial" w:hAnsi="Arial"/>
          <w:color w:val="1A1A1A"/>
          <w:sz w:val="22"/>
          <w:szCs w:val="22"/>
        </w:rPr>
        <w:t xml:space="preserve">Qualsiasi cosa che richieda di compromettere la nostra integrità — a prescindere dall'importo in gioco</w:t>
      </w:r>
    </w:p>
    <w:p>
      <w:pPr>
        <w:spacing w:after="0" w:before="120"/>
      </w:pPr>
      <w:r>
        <w:t xml:space="preserve"/>
      </w:r>
    </w:p>
    <w:p>
      <w:pPr>
        <w:spacing w:after="120" w:before="360"/>
      </w:pPr>
      <w:r>
        <w:rPr>
          <w:rFonts w:ascii="Arial" w:cs="Arial" w:eastAsia="Arial" w:hAnsi="Arial"/>
          <w:b/>
          <w:bCs/>
          <w:color w:val="C0522A"/>
          <w:spacing w:val="40"/>
          <w:sz w:val="22"/>
          <w:szCs w:val="22"/>
        </w:rPr>
        <w:t xml:space="preserve">COSA NON VOGLIAMO DIVENTARE</w:t>
      </w:r>
    </w:p>
    <w:p>
      <w:pPr>
        <w:pStyle w:val="ListParagraph"/>
        <w:numPr>
          <w:ilvl w:val="0"/>
          <w:numId w:val="2"/>
        </w:numPr>
        <w:spacing w:after="60" w:before="60"/>
      </w:pPr>
      <w:r>
        <w:rPr>
          <w:rFonts w:ascii="Arial" w:cs="Arial" w:eastAsia="Arial" w:hAnsi="Arial"/>
          <w:color w:val="1A1A1A"/>
          <w:sz w:val="22"/>
          <w:szCs w:val="22"/>
        </w:rPr>
        <w:t xml:space="preserve">Un'agenzia generalista che lavora con tutti — l'omologazione è la fine dell'identità</w:t>
      </w:r>
    </w:p>
    <w:p>
      <w:pPr>
        <w:pStyle w:val="ListParagraph"/>
        <w:numPr>
          <w:ilvl w:val="0"/>
          <w:numId w:val="2"/>
        </w:numPr>
        <w:spacing w:after="60" w:before="60"/>
      </w:pPr>
      <w:r>
        <w:rPr>
          <w:rFonts w:ascii="Arial" w:cs="Arial" w:eastAsia="Arial" w:hAnsi="Arial"/>
          <w:color w:val="1A1A1A"/>
          <w:sz w:val="22"/>
          <w:szCs w:val="22"/>
        </w:rPr>
        <w:t xml:space="preserve">Un'agenzia guidata dal bisogno economico — il bisogno porta ai compromessi</w:t>
      </w:r>
    </w:p>
    <w:p>
      <w:pPr>
        <w:pStyle w:val="ListParagraph"/>
        <w:numPr>
          <w:ilvl w:val="0"/>
          <w:numId w:val="2"/>
        </w:numPr>
        <w:spacing w:after="60" w:before="60"/>
      </w:pPr>
      <w:r>
        <w:rPr>
          <w:rFonts w:ascii="Arial" w:cs="Arial" w:eastAsia="Arial" w:hAnsi="Arial"/>
          <w:color w:val="1A1A1A"/>
          <w:sz w:val="22"/>
          <w:szCs w:val="22"/>
        </w:rPr>
        <w:t xml:space="preserve">Un team che punta il dito invece di aiutarsi</w:t>
      </w:r>
    </w:p>
    <w:p>
      <w:pPr>
        <w:pStyle w:val="ListParagraph"/>
        <w:numPr>
          <w:ilvl w:val="0"/>
          <w:numId w:val="2"/>
        </w:numPr>
        <w:spacing w:after="60" w:before="60"/>
      </w:pPr>
      <w:r>
        <w:rPr>
          <w:rFonts w:ascii="Arial" w:cs="Arial" w:eastAsia="Arial" w:hAnsi="Arial"/>
          <w:color w:val="1A1A1A"/>
          <w:sz w:val="22"/>
          <w:szCs w:val="22"/>
        </w:rPr>
        <w:t xml:space="preserve">Una realtà dove si dice una cosa e se ne fa un'altra</w:t>
      </w:r>
    </w:p>
    <w:p>
      <w:pPr>
        <w:pStyle w:val="ListParagraph"/>
        <w:numPr>
          <w:ilvl w:val="0"/>
          <w:numId w:val="2"/>
        </w:numPr>
        <w:spacing w:after="60" w:before="60"/>
      </w:pPr>
      <w:r>
        <w:rPr>
          <w:rFonts w:ascii="Arial" w:cs="Arial" w:eastAsia="Arial" w:hAnsi="Arial"/>
          <w:color w:val="1A1A1A"/>
          <w:sz w:val="22"/>
          <w:szCs w:val="22"/>
        </w:rPr>
        <w:t xml:space="preserve">Un ambiente dove chi sbaglia viene lasciato solo</w:t>
      </w:r>
    </w:p>
    <w:p>
      <w:r>
        <w:br w:type="page"/>
      </w:r>
    </w:p>
    <w:p>
      <w:pPr>
        <w:pBdr>
          <w:bottom w:val="single" w:color="C0522A" w:sz="6" w:space="6"/>
        </w:pBdr>
        <w:spacing w:after="160" w:before="480"/>
      </w:pPr>
      <w:r>
        <w:rPr>
          <w:rFonts w:ascii="Arial" w:cs="Arial" w:eastAsia="Arial" w:hAnsi="Arial"/>
          <w:b/>
          <w:bCs/>
          <w:color w:val="1A1A1A"/>
          <w:sz w:val="36"/>
          <w:szCs w:val="36"/>
        </w:rPr>
        <w:t xml:space="preserve">7. Team, Ruoli e Cultura</w:t>
      </w:r>
    </w:p>
    <w:p>
      <w:pPr>
        <w:spacing w:after="120" w:before="360"/>
      </w:pPr>
      <w:r>
        <w:rPr>
          <w:rFonts w:ascii="Arial" w:cs="Arial" w:eastAsia="Arial" w:hAnsi="Arial"/>
          <w:b/>
          <w:bCs/>
          <w:color w:val="C0522A"/>
          <w:spacing w:val="40"/>
          <w:sz w:val="22"/>
          <w:szCs w:val="22"/>
        </w:rPr>
        <w:t xml:space="preserve">COME LAVORIAMO</w:t>
      </w:r>
    </w:p>
    <w:p>
      <w:pPr>
        <w:spacing w:after="100" w:before="60"/>
        <w:jc w:val="left"/>
      </w:pPr>
      <w:r>
        <w:rPr>
          <w:rFonts w:ascii="Arial" w:cs="Arial" w:eastAsia="Arial" w:hAnsi="Arial"/>
          <w:i w:val="false"/>
          <w:iCs w:val="false"/>
          <w:color w:val="1A1A1A"/>
          <w:sz w:val="22"/>
          <w:szCs w:val="22"/>
        </w:rPr>
        <w:t xml:space="preserve">Non c'è chi comanda e chi esegue. Ci sono due persone con competenze complementari che si dividono le responsabilità in base alle proprie aree di forza — e che prendono insieme le decisioni che contano.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Vendita</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Entrambi</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Gestione clienti</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Entrambi</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Creazione contenuti</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Entrambi</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Advertising (Meta/Google)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Marco — responsabile principale</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Supporto commerciale e call</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Gianpio — responsabile principale</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Organizzazione interna</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Gianpio — responsabile principale</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Parte tecnica digitale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Marco — responsabile principale</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Amministrazione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Entrambi</w:t>
            </w:r>
          </w:p>
        </w:tc>
      </w:tr>
      <w:tr>
        <w:tc>
          <w:tcPr>
            <w:tcW w:type="dxa" w:w="3000"/>
            <w:tcBorders>
              <w:top w:val="single" w:color="D9D0C7" w:sz="1"/>
              <w:left w:val="single" w:color="D9D0C7" w:sz="1"/>
              <w:bottom w:val="single" w:color="D9D0C7" w:sz="1"/>
              <w:right w:val="single" w:color="D9D0C7" w:sz="1"/>
            </w:tcBorders>
            <w:shd w:fill="F7F4F1" w:val="clear"/>
            <w:tcMar>
              <w:top w:type="dxa" w:w="100"/>
              <w:left w:type="dxa" w:w="160"/>
              <w:bottom w:type="dxa" w:w="100"/>
              <w:right w:type="dxa" w:w="160"/>
            </w:tcMar>
          </w:tcPr>
          <w:p>
            <w:r>
              <w:rPr>
                <w:rFonts w:ascii="Arial" w:cs="Arial" w:eastAsia="Arial" w:hAnsi="Arial"/>
                <w:b/>
                <w:bCs/>
                <w:color w:val="C0522A"/>
                <w:sz w:val="21"/>
                <w:szCs w:val="21"/>
              </w:rPr>
              <w:t xml:space="preserve">Decisioni strategiche e finanziarie</w:t>
            </w:r>
          </w:p>
        </w:tc>
        <w:tc>
          <w:tcPr>
            <w:tcW w:type="dxa" w:w="6360"/>
            <w:tcBorders>
              <w:top w:val="single" w:color="D9D0C7" w:sz="1"/>
              <w:left w:val="single" w:color="D9D0C7" w:sz="1"/>
              <w:bottom w:val="single" w:color="D9D0C7" w:sz="1"/>
              <w:right w:val="single" w:color="D9D0C7" w:sz="1"/>
            </w:tcBorders>
            <w:tcMar>
              <w:top w:type="dxa" w:w="100"/>
              <w:left w:type="dxa" w:w="160"/>
              <w:bottom w:type="dxa" w:w="100"/>
              <w:right w:type="dxa" w:w="160"/>
            </w:tcMar>
          </w:tcPr>
          <w:p>
            <w:r>
              <w:rPr>
                <w:rFonts w:ascii="Arial" w:cs="Arial" w:eastAsia="Arial" w:hAnsi="Arial"/>
                <w:color w:val="1A1A1A"/>
                <w:sz w:val="21"/>
                <w:szCs w:val="21"/>
              </w:rPr>
              <w:t xml:space="preserve">Entrambi — sempre insieme</w:t>
            </w:r>
          </w:p>
        </w:tc>
      </w:tr>
    </w:tbl>
    <w:p>
      <w:pPr>
        <w:spacing w:after="0" w:before="160"/>
      </w:pPr>
      <w:r>
        <w:t xml:space="preserve"/>
      </w:r>
    </w:p>
    <w:p>
      <w:pPr>
        <w:spacing w:after="120" w:before="360"/>
      </w:pPr>
      <w:r>
        <w:rPr>
          <w:rFonts w:ascii="Arial" w:cs="Arial" w:eastAsia="Arial" w:hAnsi="Arial"/>
          <w:b/>
          <w:bCs/>
          <w:color w:val="C0522A"/>
          <w:spacing w:val="40"/>
          <w:sz w:val="22"/>
          <w:szCs w:val="22"/>
        </w:rPr>
        <w:t xml:space="preserve">LA CULTURA CHE VOGLIAMO COSTRUIRE</w:t>
      </w:r>
    </w:p>
    <w:p>
      <w:pPr>
        <w:spacing w:after="100" w:before="60"/>
        <w:jc w:val="left"/>
      </w:pPr>
      <w:r>
        <w:rPr>
          <w:rFonts w:ascii="Arial" w:cs="Arial" w:eastAsia="Arial" w:hAnsi="Arial"/>
          <w:i w:val="false"/>
          <w:iCs w:val="false"/>
          <w:color w:val="1A1A1A"/>
          <w:sz w:val="22"/>
          <w:szCs w:val="22"/>
        </w:rPr>
        <w:t xml:space="preserve">Non vogliamo un team con gerarchie visibili. Vogliamo una seconda famiglia — dove ognuno si sente libero di contribuire con ciò che ha di meglio, dove non si vede l'ora di lavorare insieme, dove la crescita personale e quella dell'azienda sono la stessa cosa.</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Quando qualcuno è in difficoltà, lo si aiuta. Non per ricevere qualcosa in cambio, ma perché è la cosa giusta da fare.</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Chi entra in Forge Group non lavora per Forge Group — costruisce Forge Group. La domanda che ci facciamo con ogni persona che incontra la nostra realtà non è "hai le competenze giuste?", ma "sposi la visione? Condividi i valori? Che valore puoi portare e ricevere in questo percorso?"</w:t>
      </w:r>
    </w:p>
    <w:p>
      <w:pPr>
        <w:spacing w:after="0" w:before="120"/>
      </w:pPr>
      <w:r>
        <w:t xml:space="preserve"/>
      </w:r>
    </w:p>
    <w:p>
      <w:pPr>
        <w:spacing w:after="120" w:before="360"/>
      </w:pPr>
      <w:r>
        <w:rPr>
          <w:rFonts w:ascii="Arial" w:cs="Arial" w:eastAsia="Arial" w:hAnsi="Arial"/>
          <w:b/>
          <w:bCs/>
          <w:color w:val="C0522A"/>
          <w:spacing w:val="40"/>
          <w:sz w:val="22"/>
          <w:szCs w:val="22"/>
        </w:rPr>
        <w:t xml:space="preserve">CHI CERCHIAMO</w:t>
      </w:r>
    </w:p>
    <w:p>
      <w:pPr>
        <w:spacing w:after="100" w:before="60"/>
        <w:jc w:val="left"/>
      </w:pPr>
      <w:r>
        <w:rPr>
          <w:rFonts w:ascii="Arial" w:cs="Arial" w:eastAsia="Arial" w:hAnsi="Arial"/>
          <w:i w:val="false"/>
          <w:iCs w:val="false"/>
          <w:color w:val="1A1A1A"/>
          <w:sz w:val="22"/>
          <w:szCs w:val="22"/>
        </w:rPr>
        <w:t xml:space="preserve">Stessi valori. Stessa mentalità. Stessa disponibilità a mettersi in gioco. Le competenze tecniche si costruiscono nel tempo — il carattere e la visione no. Chiunque entri in contatto con Forge Group, in qualsiasi ruolo, deve sentire che questo è il posto giusto per crescere — non solo professionalmente.</w:t>
      </w:r>
    </w:p>
    <w:p>
      <w:r>
        <w:br w:type="page"/>
      </w:r>
    </w:p>
    <w:p>
      <w:pPr>
        <w:pBdr>
          <w:bottom w:val="single" w:color="C0522A" w:sz="6" w:space="6"/>
        </w:pBdr>
        <w:spacing w:after="160" w:before="480"/>
      </w:pPr>
      <w:r>
        <w:rPr>
          <w:rFonts w:ascii="Arial" w:cs="Arial" w:eastAsia="Arial" w:hAnsi="Arial"/>
          <w:b/>
          <w:bCs/>
          <w:color w:val="1A1A1A"/>
          <w:sz w:val="36"/>
          <w:szCs w:val="36"/>
        </w:rPr>
        <w:t xml:space="preserve">8. Obiettivi e Traiettoria</w:t>
      </w:r>
    </w:p>
    <w:p>
      <w:pPr>
        <w:spacing w:after="120" w:before="360"/>
      </w:pPr>
      <w:r>
        <w:rPr>
          <w:rFonts w:ascii="Arial" w:cs="Arial" w:eastAsia="Arial" w:hAnsi="Arial"/>
          <w:b/>
          <w:bCs/>
          <w:color w:val="C0522A"/>
          <w:spacing w:val="40"/>
          <w:sz w:val="22"/>
          <w:szCs w:val="22"/>
        </w:rPr>
        <w:t xml:space="preserve">LA MATEMATICA DEL PRIMO ANNO</w:t>
      </w:r>
    </w:p>
    <w:p>
      <w:pPr>
        <w:spacing w:after="100" w:before="60"/>
        <w:jc w:val="left"/>
      </w:pPr>
      <w:r>
        <w:rPr>
          <w:rFonts w:ascii="Arial" w:cs="Arial" w:eastAsia="Arial" w:hAnsi="Arial"/>
          <w:i w:val="false"/>
          <w:iCs w:val="false"/>
          <w:color w:val="1A1A1A"/>
          <w:sz w:val="22"/>
          <w:szCs w:val="22"/>
        </w:rPr>
        <w:t xml:space="preserve">Obiettivo: €100.000 di fatturato entro 12 mesi.</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Cliente attuale: ROVI Srl — contratto annuale €8.400 + 3% sul fatturato generato</w:t>
      </w:r>
    </w:p>
    <w:p>
      <w:pPr>
        <w:pStyle w:val="ListParagraph"/>
        <w:numPr>
          <w:ilvl w:val="0"/>
          <w:numId w:val="2"/>
        </w:numPr>
        <w:spacing w:after="60" w:before="60"/>
      </w:pPr>
      <w:r>
        <w:rPr>
          <w:rFonts w:ascii="Arial" w:cs="Arial" w:eastAsia="Arial" w:hAnsi="Arial"/>
          <w:color w:val="1A1A1A"/>
          <w:sz w:val="22"/>
          <w:szCs w:val="22"/>
        </w:rPr>
        <w:t xml:space="preserve">Ticket medio fase di lancio: €1.000–1.500/mese</w:t>
      </w:r>
    </w:p>
    <w:p>
      <w:pPr>
        <w:pStyle w:val="ListParagraph"/>
        <w:numPr>
          <w:ilvl w:val="0"/>
          <w:numId w:val="2"/>
        </w:numPr>
        <w:spacing w:after="60" w:before="60"/>
      </w:pPr>
      <w:r>
        <w:rPr>
          <w:rFonts w:ascii="Arial" w:cs="Arial" w:eastAsia="Arial" w:hAnsi="Arial"/>
          <w:color w:val="1A1A1A"/>
          <w:sz w:val="22"/>
          <w:szCs w:val="22"/>
        </w:rPr>
        <w:t xml:space="preserve">Clienti necessari: 7–9 clienti attivi a fine anno</w:t>
      </w:r>
    </w:p>
    <w:p>
      <w:pPr>
        <w:pStyle w:val="ListParagraph"/>
        <w:numPr>
          <w:ilvl w:val="0"/>
          <w:numId w:val="2"/>
        </w:numPr>
        <w:spacing w:after="60" w:before="60"/>
      </w:pPr>
      <w:r>
        <w:rPr>
          <w:rFonts w:ascii="Arial" w:cs="Arial" w:eastAsia="Arial" w:hAnsi="Arial"/>
          <w:color w:val="1A1A1A"/>
          <w:sz w:val="22"/>
          <w:szCs w:val="22"/>
        </w:rPr>
        <w:t xml:space="preserve">Strategia: prezzi entry-level in cambio di casi studio e video recensioni per costruire reputazione e autorevolezza</w:t>
      </w:r>
    </w:p>
    <w:p>
      <w:pPr>
        <w:spacing w:after="0" w:before="160"/>
      </w:pPr>
      <w:r>
        <w:t xml:space="preserve"/>
      </w:r>
    </w:p>
    <w:p>
      <w:pPr>
        <w:spacing w:after="120" w:before="360"/>
      </w:pPr>
      <w:r>
        <w:rPr>
          <w:rFonts w:ascii="Arial" w:cs="Arial" w:eastAsia="Arial" w:hAnsi="Arial"/>
          <w:b/>
          <w:bCs/>
          <w:color w:val="C0522A"/>
          <w:spacing w:val="40"/>
          <w:sz w:val="22"/>
          <w:szCs w:val="22"/>
        </w:rPr>
        <w:t xml:space="preserve">MILESTONE A 5 ANNI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9D0C7" w:sz="1"/>
              <w:left w:val="single" w:color="D9D0C7" w:sz="1"/>
              <w:bottom w:val="single" w:color="D9D0C7" w:sz="1"/>
              <w:right w:val="single" w:color="D9D0C7" w:sz="1"/>
            </w:tcBorders>
            <w:shd w:fill="C052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Anno 1</w:t>
            </w:r>
          </w:p>
        </w:tc>
        <w:tc>
          <w:tcPr>
            <w:tcW w:type="dxa" w:w="2000"/>
            <w:tcBorders>
              <w:top w:val="single" w:color="D9D0C7" w:sz="1"/>
              <w:left w:val="single" w:color="D9D0C7" w:sz="1"/>
              <w:bottom w:val="single" w:color="D9D0C7" w:sz="1"/>
              <w:right w:val="single" w:color="D9D0C7" w:sz="1"/>
            </w:tcBorders>
            <w:shd w:fill="F2EDE8" w:val="clear"/>
            <w:tcMar>
              <w:top w:type="dxa" w:w="120"/>
              <w:left w:type="dxa" w:w="160"/>
              <w:bottom w:type="dxa" w:w="120"/>
              <w:right w:type="dxa" w:w="160"/>
            </w:tcMar>
            <w:vAlign w:val="center"/>
          </w:tcPr>
          <w:p>
            <w:pPr>
              <w:jc w:val="center"/>
            </w:pPr>
            <w:r>
              <w:rPr>
                <w:rFonts w:ascii="Arial" w:cs="Arial" w:eastAsia="Arial" w:hAnsi="Arial"/>
                <w:b/>
                <w:bCs/>
                <w:color w:val="C0522A"/>
                <w:sz w:val="26"/>
                <w:szCs w:val="26"/>
              </w:rPr>
              <w:t xml:space="preserve">€100k</w:t>
            </w:r>
          </w:p>
        </w:tc>
        <w:tc>
          <w:tcPr>
            <w:tcW w:type="dxa" w:w="5860"/>
            <w:tcBorders>
              <w:top w:val="single" w:color="D9D0C7" w:sz="1"/>
              <w:left w:val="single" w:color="D9D0C7" w:sz="1"/>
              <w:bottom w:val="single" w:color="D9D0C7" w:sz="1"/>
              <w:right w:val="single" w:color="D9D0C7" w:sz="1"/>
            </w:tcBorders>
            <w:tcMar>
              <w:top w:type="dxa" w:w="120"/>
              <w:left w:type="dxa" w:w="160"/>
              <w:bottom w:type="dxa" w:w="120"/>
              <w:right w:type="dxa" w:w="160"/>
            </w:tcMar>
          </w:tcPr>
          <w:p>
            <w:r>
              <w:rPr>
                <w:rFonts w:ascii="Arial" w:cs="Arial" w:eastAsia="Arial" w:hAnsi="Arial"/>
                <w:color w:val="1A1A1A"/>
                <w:sz w:val="21"/>
                <w:szCs w:val="21"/>
              </w:rPr>
              <w:t xml:space="preserve">Primi clienti consolidati, processo validato, primi casi studio reali</w:t>
            </w:r>
          </w:p>
        </w:tc>
      </w:tr>
      <w:tr>
        <w:tc>
          <w:tcPr>
            <w:tcW w:type="dxa" w:w="1500"/>
            <w:tcBorders>
              <w:top w:val="single" w:color="D9D0C7" w:sz="1"/>
              <w:left w:val="single" w:color="D9D0C7" w:sz="1"/>
              <w:bottom w:val="single" w:color="D9D0C7" w:sz="1"/>
              <w:right w:val="single" w:color="D9D0C7" w:sz="1"/>
            </w:tcBorders>
            <w:shd w:fill="C052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Anno 2</w:t>
            </w:r>
          </w:p>
        </w:tc>
        <w:tc>
          <w:tcPr>
            <w:tcW w:type="dxa" w:w="2000"/>
            <w:tcBorders>
              <w:top w:val="single" w:color="D9D0C7" w:sz="1"/>
              <w:left w:val="single" w:color="D9D0C7" w:sz="1"/>
              <w:bottom w:val="single" w:color="D9D0C7" w:sz="1"/>
              <w:right w:val="single" w:color="D9D0C7" w:sz="1"/>
            </w:tcBorders>
            <w:shd w:fill="F2EDE8" w:val="clear"/>
            <w:tcMar>
              <w:top w:type="dxa" w:w="120"/>
              <w:left w:type="dxa" w:w="160"/>
              <w:bottom w:type="dxa" w:w="120"/>
              <w:right w:type="dxa" w:w="160"/>
            </w:tcMar>
            <w:vAlign w:val="center"/>
          </w:tcPr>
          <w:p>
            <w:pPr>
              <w:jc w:val="center"/>
            </w:pPr>
            <w:r>
              <w:rPr>
                <w:rFonts w:ascii="Arial" w:cs="Arial" w:eastAsia="Arial" w:hAnsi="Arial"/>
                <w:b/>
                <w:bCs/>
                <w:color w:val="C0522A"/>
                <w:sz w:val="26"/>
                <w:szCs w:val="26"/>
              </w:rPr>
              <w:t xml:space="preserve">€250k</w:t>
            </w:r>
          </w:p>
        </w:tc>
        <w:tc>
          <w:tcPr>
            <w:tcW w:type="dxa" w:w="5860"/>
            <w:tcBorders>
              <w:top w:val="single" w:color="D9D0C7" w:sz="1"/>
              <w:left w:val="single" w:color="D9D0C7" w:sz="1"/>
              <w:bottom w:val="single" w:color="D9D0C7" w:sz="1"/>
              <w:right w:val="single" w:color="D9D0C7" w:sz="1"/>
            </w:tcBorders>
            <w:tcMar>
              <w:top w:type="dxa" w:w="120"/>
              <w:left w:type="dxa" w:w="160"/>
              <w:bottom w:type="dxa" w:w="120"/>
              <w:right w:type="dxa" w:w="160"/>
            </w:tcMar>
          </w:tcPr>
          <w:p>
            <w:r>
              <w:rPr>
                <w:rFonts w:ascii="Arial" w:cs="Arial" w:eastAsia="Arial" w:hAnsi="Arial"/>
                <w:color w:val="1A1A1A"/>
                <w:sz w:val="21"/>
                <w:szCs w:val="21"/>
              </w:rPr>
              <w:t xml:space="preserve">Ticket medio in crescita, reputazione territoriale, team in espansione</w:t>
            </w:r>
          </w:p>
        </w:tc>
      </w:tr>
      <w:tr>
        <w:tc>
          <w:tcPr>
            <w:tcW w:type="dxa" w:w="1500"/>
            <w:tcBorders>
              <w:top w:val="single" w:color="D9D0C7" w:sz="1"/>
              <w:left w:val="single" w:color="D9D0C7" w:sz="1"/>
              <w:bottom w:val="single" w:color="D9D0C7" w:sz="1"/>
              <w:right w:val="single" w:color="D9D0C7" w:sz="1"/>
            </w:tcBorders>
            <w:shd w:fill="C052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Anno 3</w:t>
            </w:r>
          </w:p>
        </w:tc>
        <w:tc>
          <w:tcPr>
            <w:tcW w:type="dxa" w:w="2000"/>
            <w:tcBorders>
              <w:top w:val="single" w:color="D9D0C7" w:sz="1"/>
              <w:left w:val="single" w:color="D9D0C7" w:sz="1"/>
              <w:bottom w:val="single" w:color="D9D0C7" w:sz="1"/>
              <w:right w:val="single" w:color="D9D0C7" w:sz="1"/>
            </w:tcBorders>
            <w:shd w:fill="F2EDE8" w:val="clear"/>
            <w:tcMar>
              <w:top w:type="dxa" w:w="120"/>
              <w:left w:type="dxa" w:w="160"/>
              <w:bottom w:type="dxa" w:w="120"/>
              <w:right w:type="dxa" w:w="160"/>
            </w:tcMar>
            <w:vAlign w:val="center"/>
          </w:tcPr>
          <w:p>
            <w:pPr>
              <w:jc w:val="center"/>
            </w:pPr>
            <w:r>
              <w:rPr>
                <w:rFonts w:ascii="Arial" w:cs="Arial" w:eastAsia="Arial" w:hAnsi="Arial"/>
                <w:b/>
                <w:bCs/>
                <w:color w:val="C0522A"/>
                <w:sz w:val="26"/>
                <w:szCs w:val="26"/>
              </w:rPr>
              <w:t xml:space="preserve">€500k</w:t>
            </w:r>
          </w:p>
        </w:tc>
        <w:tc>
          <w:tcPr>
            <w:tcW w:type="dxa" w:w="5860"/>
            <w:tcBorders>
              <w:top w:val="single" w:color="D9D0C7" w:sz="1"/>
              <w:left w:val="single" w:color="D9D0C7" w:sz="1"/>
              <w:bottom w:val="single" w:color="D9D0C7" w:sz="1"/>
              <w:right w:val="single" w:color="D9D0C7" w:sz="1"/>
            </w:tcBorders>
            <w:tcMar>
              <w:top w:type="dxa" w:w="120"/>
              <w:left w:type="dxa" w:w="160"/>
              <w:bottom w:type="dxa" w:w="120"/>
              <w:right w:type="dxa" w:w="160"/>
            </w:tcMar>
          </w:tcPr>
          <w:p>
            <w:r>
              <w:rPr>
                <w:rFonts w:ascii="Arial" w:cs="Arial" w:eastAsia="Arial" w:hAnsi="Arial"/>
                <w:color w:val="1A1A1A"/>
                <w:sz w:val="21"/>
                <w:szCs w:val="21"/>
              </w:rPr>
              <w:t xml:space="preserve">Nicchia B2B dominata, collaboratori allineati, sistema scalabile</w:t>
            </w:r>
          </w:p>
        </w:tc>
      </w:tr>
      <w:tr>
        <w:tc>
          <w:tcPr>
            <w:tcW w:type="dxa" w:w="1500"/>
            <w:tcBorders>
              <w:top w:val="single" w:color="D9D0C7" w:sz="1"/>
              <w:left w:val="single" w:color="D9D0C7" w:sz="1"/>
              <w:bottom w:val="single" w:color="D9D0C7" w:sz="1"/>
              <w:right w:val="single" w:color="D9D0C7" w:sz="1"/>
            </w:tcBorders>
            <w:shd w:fill="C052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Anno 5</w:t>
            </w:r>
          </w:p>
        </w:tc>
        <w:tc>
          <w:tcPr>
            <w:tcW w:type="dxa" w:w="2000"/>
            <w:tcBorders>
              <w:top w:val="single" w:color="D9D0C7" w:sz="1"/>
              <w:left w:val="single" w:color="D9D0C7" w:sz="1"/>
              <w:bottom w:val="single" w:color="D9D0C7" w:sz="1"/>
              <w:right w:val="single" w:color="D9D0C7" w:sz="1"/>
            </w:tcBorders>
            <w:shd w:fill="F2EDE8" w:val="clear"/>
            <w:tcMar>
              <w:top w:type="dxa" w:w="120"/>
              <w:left w:type="dxa" w:w="160"/>
              <w:bottom w:type="dxa" w:w="120"/>
              <w:right w:type="dxa" w:w="160"/>
            </w:tcMar>
            <w:vAlign w:val="center"/>
          </w:tcPr>
          <w:p>
            <w:pPr>
              <w:jc w:val="center"/>
            </w:pPr>
            <w:r>
              <w:rPr>
                <w:rFonts w:ascii="Arial" w:cs="Arial" w:eastAsia="Arial" w:hAnsi="Arial"/>
                <w:b/>
                <w:bCs/>
                <w:color w:val="C0522A"/>
                <w:sz w:val="26"/>
                <w:szCs w:val="26"/>
              </w:rPr>
              <w:t xml:space="preserve">€1.000k</w:t>
            </w:r>
          </w:p>
        </w:tc>
        <w:tc>
          <w:tcPr>
            <w:tcW w:type="dxa" w:w="5860"/>
            <w:tcBorders>
              <w:top w:val="single" w:color="D9D0C7" w:sz="1"/>
              <w:left w:val="single" w:color="D9D0C7" w:sz="1"/>
              <w:bottom w:val="single" w:color="D9D0C7" w:sz="1"/>
              <w:right w:val="single" w:color="D9D0C7" w:sz="1"/>
            </w:tcBorders>
            <w:tcMar>
              <w:top w:type="dxa" w:w="120"/>
              <w:left w:type="dxa" w:w="160"/>
              <w:bottom w:type="dxa" w:w="120"/>
              <w:right w:type="dxa" w:w="160"/>
            </w:tcMar>
          </w:tcPr>
          <w:p>
            <w:r>
              <w:rPr>
                <w:rFonts w:ascii="Arial" w:cs="Arial" w:eastAsia="Arial" w:hAnsi="Arial"/>
                <w:color w:val="1A1A1A"/>
                <w:sz w:val="21"/>
                <w:szCs w:val="21"/>
              </w:rPr>
              <w:t xml:space="preserve">Fatturato milione, reputazione nazionale, community attiva</w:t>
            </w:r>
          </w:p>
        </w:tc>
      </w:tr>
    </w:tbl>
    <w:p>
      <w:pPr>
        <w:spacing w:after="0" w:before="160"/>
      </w:pPr>
      <w:r>
        <w:t xml:space="preserve"/>
      </w:r>
    </w:p>
    <w:p>
      <w:pPr>
        <w:spacing w:after="120" w:before="360"/>
      </w:pPr>
      <w:r>
        <w:rPr>
          <w:rFonts w:ascii="Arial" w:cs="Arial" w:eastAsia="Arial" w:hAnsi="Arial"/>
          <w:b/>
          <w:bCs/>
          <w:color w:val="C0522A"/>
          <w:spacing w:val="40"/>
          <w:sz w:val="22"/>
          <w:szCs w:val="22"/>
        </w:rPr>
        <w:t xml:space="preserve">COSA CONSIDERIAMO UN VERO SUCCESSO</w:t>
      </w:r>
    </w:p>
    <w:p>
      <w:pPr>
        <w:spacing w:after="100" w:before="60"/>
        <w:jc w:val="left"/>
      </w:pPr>
      <w:r>
        <w:rPr>
          <w:rFonts w:ascii="Arial" w:cs="Arial" w:eastAsia="Arial" w:hAnsi="Arial"/>
          <w:i w:val="false"/>
          <w:iCs w:val="false"/>
          <w:color w:val="1A1A1A"/>
          <w:sz w:val="22"/>
          <w:szCs w:val="22"/>
        </w:rPr>
        <w:t xml:space="preserve">Oltre al fatturato, il primo anno è un successo quando:</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I clienti hanno raggiunto gli obiettivi prefissati insieme a noi — e lo dichiarano</w:t>
      </w:r>
    </w:p>
    <w:p>
      <w:pPr>
        <w:pStyle w:val="ListParagraph"/>
        <w:numPr>
          <w:ilvl w:val="0"/>
          <w:numId w:val="2"/>
        </w:numPr>
        <w:spacing w:after="60" w:before="60"/>
      </w:pPr>
      <w:r>
        <w:rPr>
          <w:rFonts w:ascii="Arial" w:cs="Arial" w:eastAsia="Arial" w:hAnsi="Arial"/>
          <w:color w:val="1A1A1A"/>
          <w:sz w:val="22"/>
          <w:szCs w:val="22"/>
        </w:rPr>
        <w:t xml:space="preserve">Abbiamo portato chiarezza, direzione e prevedibilità in aziende che ne erano prive</w:t>
      </w:r>
    </w:p>
    <w:p>
      <w:pPr>
        <w:pStyle w:val="ListParagraph"/>
        <w:numPr>
          <w:ilvl w:val="0"/>
          <w:numId w:val="2"/>
        </w:numPr>
        <w:spacing w:after="60" w:before="60"/>
      </w:pPr>
      <w:r>
        <w:rPr>
          <w:rFonts w:ascii="Arial" w:cs="Arial" w:eastAsia="Arial" w:hAnsi="Arial"/>
          <w:color w:val="1A1A1A"/>
          <w:sz w:val="22"/>
          <w:szCs w:val="22"/>
        </w:rPr>
        <w:t xml:space="preserve">Siamo rimasti coerenti con i nostri valori senza cedere a compromessi</w:t>
      </w:r>
    </w:p>
    <w:p>
      <w:pPr>
        <w:pStyle w:val="ListParagraph"/>
        <w:numPr>
          <w:ilvl w:val="0"/>
          <w:numId w:val="2"/>
        </w:numPr>
        <w:spacing w:after="60" w:before="60"/>
      </w:pPr>
      <w:r>
        <w:rPr>
          <w:rFonts w:ascii="Arial" w:cs="Arial" w:eastAsia="Arial" w:hAnsi="Arial"/>
          <w:color w:val="1A1A1A"/>
          <w:sz w:val="22"/>
          <w:szCs w:val="22"/>
        </w:rPr>
        <w:t xml:space="preserve">Stiamo costruendo un team di persone davvero allineate alla visione</w:t>
      </w:r>
    </w:p>
    <w:p>
      <w:pPr>
        <w:pStyle w:val="ListParagraph"/>
        <w:numPr>
          <w:ilvl w:val="0"/>
          <w:numId w:val="2"/>
        </w:numPr>
        <w:spacing w:after="60" w:before="60"/>
      </w:pPr>
      <w:r>
        <w:rPr>
          <w:rFonts w:ascii="Arial" w:cs="Arial" w:eastAsia="Arial" w:hAnsi="Arial"/>
          <w:color w:val="1A1A1A"/>
          <w:sz w:val="22"/>
          <w:szCs w:val="22"/>
        </w:rPr>
        <w:t xml:space="preserve">Abbiamo un nome riconoscibile sul territorio e una credibilità guadagnata sul campo</w:t>
      </w:r>
    </w:p>
    <w:p>
      <w:pPr>
        <w:pStyle w:val="ListParagraph"/>
        <w:numPr>
          <w:ilvl w:val="0"/>
          <w:numId w:val="2"/>
        </w:numPr>
        <w:spacing w:after="60" w:before="60"/>
      </w:pPr>
      <w:r>
        <w:rPr>
          <w:rFonts w:ascii="Arial" w:cs="Arial" w:eastAsia="Arial" w:hAnsi="Arial"/>
          <w:color w:val="1A1A1A"/>
          <w:sz w:val="22"/>
          <w:szCs w:val="22"/>
        </w:rPr>
        <w:t xml:space="preserve">Abbiamo lanciato la community e organizzato almeno un evento dal vivo</w:t>
      </w:r>
    </w:p>
    <w:p>
      <w:pPr>
        <w:pStyle w:val="ListParagraph"/>
        <w:numPr>
          <w:ilvl w:val="0"/>
          <w:numId w:val="2"/>
        </w:numPr>
        <w:spacing w:after="60" w:before="60"/>
      </w:pPr>
      <w:r>
        <w:rPr>
          <w:rFonts w:ascii="Arial" w:cs="Arial" w:eastAsia="Arial" w:hAnsi="Arial"/>
          <w:color w:val="1A1A1A"/>
          <w:sz w:val="22"/>
          <w:szCs w:val="22"/>
        </w:rPr>
        <w:t xml:space="preserve">L'agenzia è diventata uno strumento concreto per ispirare altri nel loro percorso</w:t>
      </w:r>
    </w:p>
    <w:p>
      <w:pPr>
        <w:spacing w:after="0" w:before="160"/>
      </w:pPr>
      <w:r>
        <w:t xml:space="preserve"/>
      </w:r>
    </w:p>
    <w:p>
      <w:pPr>
        <w:spacing w:after="120" w:before="360"/>
      </w:pPr>
      <w:r>
        <w:rPr>
          <w:rFonts w:ascii="Arial" w:cs="Arial" w:eastAsia="Arial" w:hAnsi="Arial"/>
          <w:b/>
          <w:bCs/>
          <w:color w:val="C0522A"/>
          <w:spacing w:val="40"/>
          <w:sz w:val="22"/>
          <w:szCs w:val="22"/>
        </w:rPr>
        <w:t xml:space="preserve">PRESENZA DIGITALE</w:t>
      </w:r>
    </w:p>
    <w:p>
      <w:pPr>
        <w:spacing w:after="100" w:before="60"/>
        <w:jc w:val="left"/>
      </w:pPr>
      <w:r>
        <w:rPr>
          <w:rFonts w:ascii="Arial" w:cs="Arial" w:eastAsia="Arial" w:hAnsi="Arial"/>
          <w:i w:val="false"/>
          <w:iCs w:val="false"/>
          <w:color w:val="1A1A1A"/>
          <w:sz w:val="22"/>
          <w:szCs w:val="22"/>
        </w:rPr>
        <w:t xml:space="preserve">Canali attivi in costruzione: Instagram, Facebook, LinkedIn, YouTube, sito web.</w:t>
      </w:r>
    </w:p>
    <w:p>
      <w:pPr>
        <w:spacing w:after="100" w:before="60"/>
        <w:jc w:val="left"/>
      </w:pPr>
      <w:r>
        <w:rPr>
          <w:rFonts w:ascii="Arial" w:cs="Arial" w:eastAsia="Arial" w:hAnsi="Arial"/>
          <w:i w:val="false"/>
          <w:iCs w:val="false"/>
          <w:color w:val="1A1A1A"/>
          <w:sz w:val="22"/>
          <w:szCs w:val="22"/>
        </w:rPr>
        <w:t xml:space="preserve">Ogni contenuto deve essere testimonianza reale di chi siamo — non marketing. La coerenza tra ciò che diciamo e ciò che mostriamo è parte integrante della nostra identità.</w:t>
      </w:r>
    </w:p>
    <w:p>
      <w:r>
        <w:br w:type="page"/>
      </w:r>
    </w:p>
    <w:p>
      <w:pPr>
        <w:pBdr>
          <w:bottom w:val="single" w:color="C0522A" w:sz="6" w:space="6"/>
        </w:pBdr>
        <w:spacing w:after="160" w:before="480"/>
      </w:pPr>
      <w:r>
        <w:rPr>
          <w:rFonts w:ascii="Arial" w:cs="Arial" w:eastAsia="Arial" w:hAnsi="Arial"/>
          <w:b/>
          <w:bCs/>
          <w:color w:val="1A1A1A"/>
          <w:sz w:val="36"/>
          <w:szCs w:val="36"/>
        </w:rPr>
        <w:t xml:space="preserve">Dichiarazione Finale</w:t>
      </w:r>
    </w:p>
    <w:p>
      <w:pPr>
        <w:spacing w:after="0" w:before="80"/>
      </w:pPr>
      <w:r>
        <w:t xml:space="preserve"/>
      </w:r>
    </w:p>
    <w:p>
      <w:pPr>
        <w:pBdr>
          <w:left w:val="single" w:color="C0522A" w:sz="12" w:space="12"/>
        </w:pBdr>
        <w:spacing w:after="200" w:before="200"/>
        <w:ind w:left="720"/>
      </w:pPr>
      <w:r>
        <w:rPr>
          <w:rFonts w:ascii="Arial" w:cs="Arial" w:eastAsia="Arial" w:hAnsi="Arial"/>
          <w:b/>
          <w:bCs/>
          <w:i/>
          <w:iCs/>
          <w:color w:val="C0522A"/>
          <w:sz w:val="24"/>
          <w:szCs w:val="24"/>
        </w:rPr>
        <w:t xml:space="preserve">"Questo non è un documento da incorniciare. È un documento da rileggere ogni volta che si è tentati di fare qualcosa che non ci rappresenta."</w:t>
      </w:r>
    </w:p>
    <w:p>
      <w:pPr>
        <w:spacing w:after="0" w:before="120"/>
      </w:pPr>
      <w:r>
        <w:t xml:space="preserve"/>
      </w:r>
    </w:p>
    <w:p>
      <w:pPr>
        <w:spacing w:after="100" w:before="60"/>
        <w:jc w:val="left"/>
      </w:pPr>
      <w:r>
        <w:rPr>
          <w:rFonts w:ascii="Arial" w:cs="Arial" w:eastAsia="Arial" w:hAnsi="Arial"/>
          <w:i w:val="false"/>
          <w:iCs w:val="false"/>
          <w:color w:val="1A1A1A"/>
          <w:sz w:val="22"/>
          <w:szCs w:val="22"/>
        </w:rPr>
        <w:t xml:space="preserve">La grandezza si costruisce nel quotidiano. Nei momenti in cui sarebbe più facile cedere, scendere a compromessi, accettare ciò che non è giusto.</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Forge Group nasce da zero — con la consapevolezza che costruire qualcosa di vero richiede tempo, coerenza e la volontà di essere da esempio prima ancora di chiedere qualcosa agli altri.</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L'agenzia è lo strumento. Il fine è più grande: dimostrare che si può costruire qualcosa di impensabile, partendo da zero, con integrità — e che questo può ispirare chiunque voglia fare lo stesso.</w:t>
      </w:r>
    </w:p>
    <w:p>
      <w:pPr>
        <w:spacing w:after="0" w:before="80"/>
      </w:pPr>
      <w:r>
        <w:t xml:space="preserve"/>
      </w:r>
    </w:p>
    <w:p>
      <w:pPr>
        <w:spacing w:after="100" w:before="60"/>
        <w:jc w:val="left"/>
      </w:pPr>
      <w:r>
        <w:rPr>
          <w:rFonts w:ascii="Arial" w:cs="Arial" w:eastAsia="Arial" w:hAnsi="Arial"/>
          <w:i w:val="false"/>
          <w:iCs w:val="false"/>
          <w:color w:val="1A1A1A"/>
          <w:sz w:val="22"/>
          <w:szCs w:val="22"/>
        </w:rPr>
        <w:t xml:space="preserve">A prescindere da dove nasci. A prescindere dalla situazione di partenza.</w:t>
      </w:r>
    </w:p>
    <w:p>
      <w:pPr>
        <w:spacing w:after="0" w:before="240"/>
      </w:pPr>
      <w:r>
        <w:t xml:space="preserve"/>
      </w:r>
    </w:p>
    <w:p>
      <w:pPr>
        <w:spacing w:after="400" w:before="200"/>
        <w:jc w:val="center"/>
      </w:pPr>
      <w:r>
        <w:rPr>
          <w:rFonts w:ascii="Arial" w:cs="Arial" w:eastAsia="Arial" w:hAnsi="Arial"/>
          <w:b/>
          <w:bCs/>
          <w:color w:val="C0522A"/>
          <w:sz w:val="22"/>
          <w:szCs w:val="22"/>
        </w:rPr>
        <w:t xml:space="preserve">Forge Group  ·  Anno Zero  ·  2025</w:t>
      </w:r>
    </w:p>
    <w:p>
      <w:pPr>
        <w:pBdr>
          <w:bottom w:val="single" w:color="C0522A" w:sz="4" w:space="1"/>
        </w:pBd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400"/>
              <w:bottom w:type="dxa" w:w="80"/>
              <w:right w:type="dxa" w:w="400"/>
            </w:tcMar>
          </w:tcPr>
          <w:p>
            <w:pPr>
              <w:jc w:val="center"/>
            </w:pPr>
            <w:r>
              <w:rPr>
                <w:rFonts w:ascii="Arial" w:cs="Arial" w:eastAsia="Arial" w:hAnsi="Arial"/>
                <w:color w:val="D9D0C7"/>
                <w:sz w:val="22"/>
                <w:szCs w:val="22"/>
              </w:rPr>
              <w:t xml:space="preserve">____________________________</w:t>
            </w:r>
          </w:p>
          <w:p>
            <w:pPr>
              <w:spacing w:before="80"/>
              <w:jc w:val="center"/>
            </w:pPr>
            <w:r>
              <w:rPr>
                <w:rFonts w:ascii="Arial" w:cs="Arial" w:eastAsia="Arial" w:hAnsi="Arial"/>
                <w:b/>
                <w:bCs/>
                <w:color w:val="1A1A1A"/>
                <w:sz w:val="22"/>
                <w:szCs w:val="22"/>
              </w:rPr>
              <w:t xml:space="preserve">Gianpio</w:t>
            </w:r>
          </w:p>
          <w:p>
            <w:pPr>
              <w:jc w:val="center"/>
            </w:pPr>
            <w:r>
              <w:rPr>
                <w:rFonts w:ascii="Arial" w:cs="Arial" w:eastAsia="Arial" w:hAnsi="Arial"/>
                <w:i/>
                <w:iCs/>
                <w:color w:val="6B6B6B"/>
                <w:sz w:val="20"/>
                <w:szCs w:val="20"/>
              </w:rPr>
              <w:t xml:space="preserve">Co-fondatore</w:t>
            </w:r>
          </w:p>
        </w:tc>
        <w:tc>
          <w:tcPr>
            <w:tcW w:type="dxa" w:w="4680"/>
            <w:tcBorders>
              <w:top w:val="none" w:color="FFFFFF" w:sz="0"/>
              <w:left w:val="none" w:color="FFFFFF" w:sz="0"/>
              <w:bottom w:val="none" w:color="FFFFFF" w:sz="0"/>
              <w:right w:val="none" w:color="FFFFFF" w:sz="0"/>
            </w:tcBorders>
            <w:tcMar>
              <w:top w:type="dxa" w:w="200"/>
              <w:left w:type="dxa" w:w="400"/>
              <w:bottom w:type="dxa" w:w="80"/>
              <w:right w:type="dxa" w:w="400"/>
            </w:tcMar>
          </w:tcPr>
          <w:p>
            <w:pPr>
              <w:jc w:val="center"/>
            </w:pPr>
            <w:r>
              <w:rPr>
                <w:rFonts w:ascii="Arial" w:cs="Arial" w:eastAsia="Arial" w:hAnsi="Arial"/>
                <w:color w:val="D9D0C7"/>
                <w:sz w:val="22"/>
                <w:szCs w:val="22"/>
              </w:rPr>
              <w:t xml:space="preserve">____________________________</w:t>
            </w:r>
          </w:p>
          <w:p>
            <w:pPr>
              <w:spacing w:before="80"/>
              <w:jc w:val="center"/>
            </w:pPr>
            <w:r>
              <w:rPr>
                <w:rFonts w:ascii="Arial" w:cs="Arial" w:eastAsia="Arial" w:hAnsi="Arial"/>
                <w:b/>
                <w:bCs/>
                <w:color w:val="1A1A1A"/>
                <w:sz w:val="22"/>
                <w:szCs w:val="22"/>
              </w:rPr>
              <w:t xml:space="preserve">Marco</w:t>
            </w:r>
          </w:p>
          <w:p>
            <w:pPr>
              <w:jc w:val="center"/>
            </w:pPr>
            <w:r>
              <w:rPr>
                <w:rFonts w:ascii="Arial" w:cs="Arial" w:eastAsia="Arial" w:hAnsi="Arial"/>
                <w:i/>
                <w:iCs/>
                <w:color w:val="6B6B6B"/>
                <w:sz w:val="20"/>
                <w:szCs w:val="20"/>
              </w:rPr>
              <w:t xml:space="preserve">Co-fondatore</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0C7" w:sz="4" w:space="4"/>
      </w:pBdr>
      <w:spacing w:after="0"/>
    </w:pPr>
    <w:r>
      <w:rPr>
        <w:rFonts w:ascii="Arial" w:cs="Arial" w:eastAsia="Arial" w:hAnsi="Arial"/>
        <w:b/>
        <w:bCs/>
        <w:color w:val="C0522A"/>
        <w:spacing w:val="60"/>
        <w:sz w:val="18"/>
        <w:szCs w:val="18"/>
      </w:rPr>
      <w:t xml:space="preserve">FORGE GROUP</w:t>
    </w:r>
    <w:r>
      <w:rPr>
        <w:rFonts w:ascii="Arial" w:cs="Arial" w:eastAsia="Arial" w:hAnsi="Arial"/>
        <w:color w:val="6B6B6B"/>
        <w:sz w:val="18"/>
        <w:szCs w:val="18"/>
      </w:rPr>
      <w:t xml:space="preserve">   |   Testa Aziendale — Documento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052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2026-05-21T15:36:44.186Z</dcterms:created>
  <dcterms:modified xsi:type="dcterms:W3CDTF">2026-05-21T15:36:44.201Z</dcterms:modified>
</cp:coreProperties>
</file>

<file path=docProps/custom.xml><?xml version="1.0" encoding="utf-8"?>
<Properties xmlns="http://schemas.openxmlformats.org/officeDocument/2006/custom-properties" xmlns:vt="http://schemas.openxmlformats.org/officeDocument/2006/docPropsVTypes"/>
</file>