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Forge Year 10 pilot data protection review</w:t>
      </w:r>
    </w:p>
    <w:p>
      <w:r>
        <w:rPr>
          <w:b/>
          <w:color w:val="46525D"/>
        </w:rPr>
        <w:t>To the school data protection officer  |  21 September 2026</w:t>
      </w:r>
    </w:p>
    <w:p>
      <w:r>
        <w:t>I am piloting Forge with my Year 10 class and would welcome your review of the data protection arrangements, including whether the school needs to complete a DPIA. I have set out what I can confirm, what a review of Forge’s source and limited live checks found, and what I need your help to agree. I have not included any pupil names or access codes.</w:t>
      </w:r>
    </w:p>
    <w:p>
      <w:pPr>
        <w:pStyle w:val="Heading1"/>
      </w:pPr>
      <w:r>
        <w:t>What I can confirm</w:t>
      </w:r>
    </w:p>
    <w:p>
      <w:pPr>
        <w:pStyle w:val="ListBullet"/>
      </w:pPr>
      <w:r>
        <w:rPr>
          <w:b/>
        </w:rPr>
        <w:t xml:space="preserve">Class access: </w:t>
      </w:r>
      <w:r>
        <w:t>Each pupil uses a first name, the class code and a private individual pupil code known only to that pupil and me. I have confirmed that first name plus class code alone does not grant entry. Pupils do not need an email address for class access.</w:t>
      </w:r>
    </w:p>
    <w:p>
      <w:pPr>
        <w:pStyle w:val="ListBullet"/>
      </w:pPr>
      <w:r>
        <w:rPr>
          <w:b/>
        </w:rPr>
        <w:t xml:space="preserve">Optional setting: </w:t>
      </w:r>
      <w:r>
        <w:t>I have not enabled extra time for any pupil in this pilot.</w:t>
      </w:r>
    </w:p>
    <w:p>
      <w:pPr>
        <w:pStyle w:val="ListBullet"/>
      </w:pPr>
      <w:r>
        <w:rPr>
          <w:b/>
        </w:rPr>
        <w:t xml:space="preserve">Data at issue: </w:t>
      </w:r>
      <w:r>
        <w:t>Forge stores linked learning activity, including selected answers, correctness, misconception tags, timestamps and teacher-visible summaries. This is pupil personal data even though surnames and emails are not required.</w:t>
      </w:r>
    </w:p>
    <w:p>
      <w:pPr>
        <w:pStyle w:val="ListBullet"/>
      </w:pPr>
      <w:r>
        <w:rPr>
          <w:b/>
        </w:rPr>
        <w:t xml:space="preserve">Security evidence: </w:t>
      </w:r>
      <w:r>
        <w:t>A review of Forge’s source found individual-code checks, code hashes, teacher class-scoping rules and class deletion. A limited public-access security check against the live service passed on 21 September 2026. This does not prove every role boundary or configuration.</w:t>
      </w:r>
    </w:p>
    <w:p>
      <w:pPr>
        <w:pStyle w:val="ListBullet"/>
      </w:pPr>
      <w:r>
        <w:rPr>
          <w:b/>
        </w:rPr>
        <w:t xml:space="preserve">What I need your advice on: </w:t>
      </w:r>
      <w:r>
        <w:t>Please confirm the school’s approval process, lawful basis, processor terms, retention period and pilot end date. I also need to verify the live hosting region, provider agreements, backup and log retention, and deletion procedure.</w:t>
      </w:r>
    </w:p>
    <w:p>
      <w:pPr>
        <w:pStyle w:val="Heading1"/>
      </w:pPr>
      <w:r>
        <w:t>How I am using Forge</w:t>
      </w:r>
    </w:p>
    <w:tbl>
      <w:tblPr>
        <w:tblStyle w:val="LightShading-Accent1"/>
        <w:tblW w:type="auto" w:w="0"/>
        <w:jc w:val="center"/>
        <w:tblLayout w:type="fixed"/>
        <w:tblLook w:firstColumn="1" w:firstRow="1" w:lastColumn="0" w:lastRow="0" w:noHBand="0" w:noVBand="1" w:val="04A0"/>
      </w:tblPr>
      <w:tblGrid>
        <w:gridCol w:w="2088"/>
        <w:gridCol w:w="7488"/>
      </w:tblGrid>
      <w:tr>
        <w:tc>
          <w:tcPr>
            <w:tcW w:type="dxa" w:w="4917"/>
            <w:vAlign w:val="center"/>
          </w:tcPr>
          <w:p>
            <w:pPr>
              <w:spacing w:after="40" w:before="40" w:line="250" w:lineRule="auto"/>
            </w:pPr>
            <w:r>
              <w:rPr>
                <w:b/>
                <w:sz w:val="16"/>
              </w:rPr>
              <w:t>Item</w:t>
            </w:r>
          </w:p>
        </w:tc>
        <w:tc>
          <w:tcPr>
            <w:tcW w:type="dxa" w:w="4917"/>
            <w:vAlign w:val="center"/>
          </w:tcPr>
          <w:p>
            <w:pPr>
              <w:spacing w:after="40" w:before="40" w:line="250" w:lineRule="auto"/>
            </w:pPr>
            <w:r>
              <w:rPr>
                <w:b/>
                <w:sz w:val="16"/>
              </w:rPr>
              <w:t>Current answer or status</w:t>
            </w:r>
          </w:p>
        </w:tc>
      </w:tr>
      <w:tr>
        <w:tc>
          <w:tcPr>
            <w:tcW w:type="dxa" w:w="2088"/>
            <w:vAlign w:val="center"/>
          </w:tcPr>
          <w:p>
            <w:pPr>
              <w:spacing w:after="40" w:before="40" w:line="250" w:lineRule="auto"/>
            </w:pPr>
            <w:r>
              <w:rPr>
                <w:sz w:val="16"/>
              </w:rPr>
              <w:t>Participants</w:t>
            </w:r>
          </w:p>
        </w:tc>
        <w:tc>
          <w:tcPr>
            <w:tcW w:type="dxa" w:w="7488"/>
            <w:vAlign w:val="center"/>
          </w:tcPr>
          <w:p>
            <w:pPr>
              <w:spacing w:after="40" w:before="40" w:line="250" w:lineRule="auto"/>
            </w:pPr>
            <w:r>
              <w:rPr>
                <w:sz w:val="16"/>
              </w:rPr>
              <w:t>My Year 10 pilot class. Please help me record the pupil count, subject, dates and devices in the school assessment.</w:t>
            </w:r>
          </w:p>
        </w:tc>
      </w:tr>
      <w:tr>
        <w:tc>
          <w:tcPr>
            <w:tcW w:type="dxa" w:w="2088"/>
            <w:vAlign w:val="center"/>
          </w:tcPr>
          <w:p>
            <w:pPr>
              <w:spacing w:after="40" w:before="40" w:line="250" w:lineRule="auto"/>
            </w:pPr>
            <w:r>
              <w:rPr>
                <w:sz w:val="16"/>
              </w:rPr>
              <w:t>Pupil account route</w:t>
            </w:r>
          </w:p>
        </w:tc>
        <w:tc>
          <w:tcPr>
            <w:tcW w:type="dxa" w:w="7488"/>
            <w:vAlign w:val="center"/>
          </w:tcPr>
          <w:p>
            <w:pPr>
              <w:spacing w:after="40" w:before="40" w:line="250" w:lineRule="auto"/>
            </w:pPr>
            <w:r>
              <w:rPr>
                <w:sz w:val="16"/>
              </w:rPr>
              <w:t>Class join uses first name, class code and individual code. No pupil email or password required for this route.</w:t>
            </w:r>
          </w:p>
        </w:tc>
      </w:tr>
      <w:tr>
        <w:tc>
          <w:tcPr>
            <w:tcW w:type="dxa" w:w="2088"/>
            <w:vAlign w:val="center"/>
          </w:tcPr>
          <w:p>
            <w:pPr>
              <w:spacing w:after="40" w:before="40" w:line="250" w:lineRule="auto"/>
            </w:pPr>
            <w:r>
              <w:rPr>
                <w:sz w:val="16"/>
              </w:rPr>
              <w:t>Teacher route</w:t>
            </w:r>
          </w:p>
        </w:tc>
        <w:tc>
          <w:tcPr>
            <w:tcW w:type="dxa" w:w="7488"/>
            <w:vAlign w:val="center"/>
          </w:tcPr>
          <w:p>
            <w:pPr>
              <w:spacing w:after="40" w:before="40" w:line="250" w:lineRule="auto"/>
            </w:pPr>
            <w:r>
              <w:rPr>
                <w:sz w:val="16"/>
              </w:rPr>
              <w:t>Authenticated teacher account with email and password; new teacher registration uses an invite code.</w:t>
            </w:r>
          </w:p>
        </w:tc>
      </w:tr>
      <w:tr>
        <w:tc>
          <w:tcPr>
            <w:tcW w:type="dxa" w:w="2088"/>
            <w:vAlign w:val="center"/>
          </w:tcPr>
          <w:p>
            <w:pPr>
              <w:spacing w:after="40" w:before="40" w:line="250" w:lineRule="auto"/>
            </w:pPr>
            <w:r>
              <w:rPr>
                <w:sz w:val="16"/>
              </w:rPr>
              <w:t>Likely roles</w:t>
            </w:r>
          </w:p>
        </w:tc>
        <w:tc>
          <w:tcPr>
            <w:tcW w:type="dxa" w:w="7488"/>
            <w:vAlign w:val="center"/>
          </w:tcPr>
          <w:p>
            <w:pPr>
              <w:spacing w:after="40" w:before="40" w:line="250" w:lineRule="auto"/>
            </w:pPr>
            <w:r>
              <w:rPr>
                <w:sz w:val="16"/>
              </w:rPr>
              <w:t>I expect the school to decide the educational purpose and be controller of class data, with Forge processing it for that purpose. Please confirm the roles against the actual arrangement and contract.</w:t>
            </w:r>
          </w:p>
        </w:tc>
      </w:tr>
      <w:tr>
        <w:tc>
          <w:tcPr>
            <w:tcW w:type="dxa" w:w="2088"/>
            <w:vAlign w:val="center"/>
          </w:tcPr>
          <w:p>
            <w:pPr>
              <w:spacing w:after="40" w:before="40" w:line="250" w:lineRule="auto"/>
            </w:pPr>
            <w:r>
              <w:rPr>
                <w:sz w:val="16"/>
              </w:rPr>
              <w:t>Other Forge activities</w:t>
            </w:r>
          </w:p>
        </w:tc>
        <w:tc>
          <w:tcPr>
            <w:tcW w:type="dxa" w:w="7488"/>
            <w:vAlign w:val="center"/>
          </w:tcPr>
          <w:p>
            <w:pPr>
              <w:spacing w:after="40" w:before="40" w:line="250" w:lineRule="auto"/>
            </w:pPr>
            <w:r>
              <w:rPr>
                <w:sz w:val="16"/>
              </w:rPr>
              <w:t>Direct Pro/trial accounts, billing and public-site analytics sit outside this class pilot and may involve Forge acting as controller. I will confirm whether any pupil in my class uses those routes.</w:t>
            </w:r>
          </w:p>
        </w:tc>
      </w:tr>
      <w:tr>
        <w:tc>
          <w:tcPr>
            <w:tcW w:type="dxa" w:w="2088"/>
            <w:vAlign w:val="center"/>
          </w:tcPr>
          <w:p>
            <w:pPr>
              <w:spacing w:after="40" w:before="40" w:line="250" w:lineRule="auto"/>
            </w:pPr>
            <w:r>
              <w:rPr>
                <w:sz w:val="16"/>
              </w:rPr>
              <w:t>Lawful basis</w:t>
            </w:r>
          </w:p>
        </w:tc>
        <w:tc>
          <w:tcPr>
            <w:tcW w:type="dxa" w:w="7488"/>
            <w:vAlign w:val="center"/>
          </w:tcPr>
          <w:p>
            <w:pPr>
              <w:spacing w:after="40" w:before="40" w:line="250" w:lineRule="auto"/>
            </w:pPr>
            <w:r>
              <w:rPr>
                <w:sz w:val="16"/>
              </w:rPr>
              <w:t>Please select and record the school’s Article 6 basis and approve the pupil and parent notice. I cannot choose the school’s lawful basis on its behalf.</w:t>
            </w:r>
          </w:p>
        </w:tc>
      </w:tr>
    </w:tbl>
    <w:p>
      <w:r>
        <w:t>The Forge data contact shown on the draft privacy page is forge.educator@gmail.com. I would also like to confirm the supplier legal entity, address and authorised signatory for the school’s records.</w:t>
      </w:r>
    </w:p>
    <w:p>
      <w:pPr>
        <w:pStyle w:val="Heading1"/>
      </w:pPr>
      <w:r>
        <w:t>The data Forge handles for my class</w:t>
      </w:r>
    </w:p>
    <w:tbl>
      <w:tblPr>
        <w:tblStyle w:val="LightShading-Accent1"/>
        <w:tblW w:type="auto" w:w="0"/>
        <w:jc w:val="center"/>
        <w:tblLayout w:type="fixed"/>
        <w:tblLook w:firstColumn="1" w:firstRow="1" w:lastColumn="0" w:lastRow="0" w:noHBand="0" w:noVBand="1" w:val="04A0"/>
      </w:tblPr>
      <w:tblGrid>
        <w:gridCol w:w="3240"/>
        <w:gridCol w:w="3816"/>
        <w:gridCol w:w="2520"/>
      </w:tblGrid>
      <w:tr>
        <w:tc>
          <w:tcPr>
            <w:tcW w:type="dxa" w:w="3278"/>
            <w:vAlign w:val="center"/>
          </w:tcPr>
          <w:p>
            <w:pPr>
              <w:spacing w:after="40" w:before="40" w:line="250" w:lineRule="auto"/>
            </w:pPr>
            <w:r>
              <w:rPr>
                <w:b/>
                <w:sz w:val="16"/>
              </w:rPr>
              <w:t>Data or feature</w:t>
            </w:r>
          </w:p>
        </w:tc>
        <w:tc>
          <w:tcPr>
            <w:tcW w:type="dxa" w:w="3278"/>
            <w:vAlign w:val="center"/>
          </w:tcPr>
          <w:p>
            <w:pPr>
              <w:spacing w:after="40" w:before="40" w:line="250" w:lineRule="auto"/>
            </w:pPr>
            <w:r>
              <w:rPr>
                <w:b/>
                <w:sz w:val="16"/>
              </w:rPr>
              <w:t>Used for</w:t>
            </w:r>
          </w:p>
        </w:tc>
        <w:tc>
          <w:tcPr>
            <w:tcW w:type="dxa" w:w="3278"/>
            <w:vAlign w:val="center"/>
          </w:tcPr>
          <w:p>
            <w:pPr>
              <w:spacing w:after="40" w:before="40" w:line="250" w:lineRule="auto"/>
            </w:pPr>
            <w:r>
              <w:rPr>
                <w:b/>
                <w:sz w:val="16"/>
              </w:rPr>
              <w:t>Status</w:t>
            </w:r>
          </w:p>
        </w:tc>
      </w:tr>
      <w:tr>
        <w:tc>
          <w:tcPr>
            <w:tcW w:type="dxa" w:w="3240"/>
            <w:vAlign w:val="center"/>
          </w:tcPr>
          <w:p>
            <w:pPr>
              <w:spacing w:after="40" w:before="40" w:line="250" w:lineRule="auto"/>
            </w:pPr>
            <w:r>
              <w:rPr>
                <w:sz w:val="16"/>
              </w:rPr>
              <w:t>First name, class ID, pupil ID, individual code</w:t>
            </w:r>
          </w:p>
        </w:tc>
        <w:tc>
          <w:tcPr>
            <w:tcW w:type="dxa" w:w="3816"/>
            <w:vAlign w:val="center"/>
          </w:tcPr>
          <w:p>
            <w:pPr>
              <w:spacing w:after="40" w:before="40" w:line="250" w:lineRule="auto"/>
            </w:pPr>
            <w:r>
              <w:rPr>
                <w:sz w:val="16"/>
              </w:rPr>
              <w:t>Join and resume the correct pupil record</w:t>
            </w:r>
          </w:p>
        </w:tc>
        <w:tc>
          <w:tcPr>
            <w:tcW w:type="dxa" w:w="2520"/>
            <w:vAlign w:val="center"/>
          </w:tcPr>
          <w:p>
            <w:pPr>
              <w:spacing w:after="40" w:before="40" w:line="250" w:lineRule="auto"/>
            </w:pPr>
            <w:r>
              <w:rPr>
                <w:sz w:val="16"/>
              </w:rPr>
              <w:t>Teacher confirmed; source reviewed</w:t>
            </w:r>
          </w:p>
        </w:tc>
      </w:tr>
      <w:tr>
        <w:tc>
          <w:tcPr>
            <w:tcW w:type="dxa" w:w="3240"/>
            <w:vAlign w:val="center"/>
          </w:tcPr>
          <w:p>
            <w:pPr>
              <w:spacing w:after="40" w:before="40" w:line="250" w:lineRule="auto"/>
            </w:pPr>
            <w:r>
              <w:rPr>
                <w:sz w:val="16"/>
              </w:rPr>
              <w:t>Question ID, selected option, correctness, topic, misconception tag, time</w:t>
            </w:r>
          </w:p>
        </w:tc>
        <w:tc>
          <w:tcPr>
            <w:tcW w:type="dxa" w:w="3816"/>
            <w:vAlign w:val="center"/>
          </w:tcPr>
          <w:p>
            <w:pPr>
              <w:spacing w:after="40" w:before="40" w:line="250" w:lineRule="auto"/>
            </w:pPr>
            <w:r>
              <w:rPr>
                <w:sz w:val="16"/>
              </w:rPr>
              <w:t>Practice feedback, progress, teacher diagnosis and assignments</w:t>
            </w:r>
          </w:p>
        </w:tc>
        <w:tc>
          <w:tcPr>
            <w:tcW w:type="dxa" w:w="2520"/>
            <w:vAlign w:val="center"/>
          </w:tcPr>
          <w:p>
            <w:pPr>
              <w:spacing w:after="40" w:before="40" w:line="250" w:lineRule="auto"/>
            </w:pPr>
            <w:r>
              <w:rPr>
                <w:sz w:val="16"/>
              </w:rPr>
              <w:t>Source reviewed</w:t>
            </w:r>
          </w:p>
        </w:tc>
      </w:tr>
      <w:tr>
        <w:tc>
          <w:tcPr>
            <w:tcW w:type="dxa" w:w="3240"/>
            <w:vAlign w:val="center"/>
          </w:tcPr>
          <w:p>
            <w:pPr>
              <w:spacing w:after="40" w:before="40" w:line="250" w:lineRule="auto"/>
            </w:pPr>
            <w:r>
              <w:rPr>
                <w:sz w:val="16"/>
              </w:rPr>
              <w:t>XP, rank, streak, accuracy, “weakest topic”</w:t>
            </w:r>
          </w:p>
        </w:tc>
        <w:tc>
          <w:tcPr>
            <w:tcW w:type="dxa" w:w="3816"/>
            <w:vAlign w:val="center"/>
          </w:tcPr>
          <w:p>
            <w:pPr>
              <w:spacing w:after="40" w:before="40" w:line="250" w:lineRule="auto"/>
            </w:pPr>
            <w:r>
              <w:rPr>
                <w:sz w:val="16"/>
              </w:rPr>
              <w:t>Student motivation and teacher summaries derived from answers</w:t>
            </w:r>
          </w:p>
        </w:tc>
        <w:tc>
          <w:tcPr>
            <w:tcW w:type="dxa" w:w="2520"/>
            <w:vAlign w:val="center"/>
          </w:tcPr>
          <w:p>
            <w:pPr>
              <w:spacing w:after="40" w:before="40" w:line="250" w:lineRule="auto"/>
            </w:pPr>
            <w:r>
              <w:rPr>
                <w:sz w:val="16"/>
              </w:rPr>
              <w:t>Source reviewed; please assess necessity</w:t>
            </w:r>
          </w:p>
        </w:tc>
      </w:tr>
      <w:tr>
        <w:tc>
          <w:tcPr>
            <w:tcW w:type="dxa" w:w="3240"/>
            <w:vAlign w:val="center"/>
          </w:tcPr>
          <w:p>
            <w:pPr>
              <w:spacing w:after="40" w:before="40" w:line="250" w:lineRule="auto"/>
            </w:pPr>
            <w:r>
              <w:rPr>
                <w:sz w:val="16"/>
              </w:rPr>
              <w:t>Extra-time value of 0, 25% or 50%</w:t>
            </w:r>
          </w:p>
        </w:tc>
        <w:tc>
          <w:tcPr>
            <w:tcW w:type="dxa" w:w="3816"/>
            <w:vAlign w:val="center"/>
          </w:tcPr>
          <w:p>
            <w:pPr>
              <w:spacing w:after="40" w:before="40" w:line="250" w:lineRule="auto"/>
            </w:pPr>
            <w:r>
              <w:rPr>
                <w:sz w:val="16"/>
              </w:rPr>
              <w:t>Optional timing adjustment in teacher dashboard</w:t>
            </w:r>
          </w:p>
        </w:tc>
        <w:tc>
          <w:tcPr>
            <w:tcW w:type="dxa" w:w="2520"/>
            <w:vAlign w:val="center"/>
          </w:tcPr>
          <w:p>
            <w:pPr>
              <w:spacing w:after="40" w:before="40" w:line="250" w:lineRule="auto"/>
            </w:pPr>
            <w:r>
              <w:rPr>
                <w:sz w:val="16"/>
              </w:rPr>
              <w:t>Feature exists; teacher says unused in this pilot</w:t>
            </w:r>
          </w:p>
        </w:tc>
      </w:tr>
      <w:tr>
        <w:tc>
          <w:tcPr>
            <w:tcW w:type="dxa" w:w="3240"/>
            <w:vAlign w:val="center"/>
          </w:tcPr>
          <w:p>
            <w:pPr>
              <w:spacing w:after="40" w:before="40" w:line="250" w:lineRule="auto"/>
            </w:pPr>
            <w:r>
              <w:rPr>
                <w:sz w:val="16"/>
              </w:rPr>
              <w:t>Teacher email and class ownership</w:t>
            </w:r>
          </w:p>
        </w:tc>
        <w:tc>
          <w:tcPr>
            <w:tcW w:type="dxa" w:w="3816"/>
            <w:vAlign w:val="center"/>
          </w:tcPr>
          <w:p>
            <w:pPr>
              <w:spacing w:after="40" w:before="40" w:line="250" w:lineRule="auto"/>
            </w:pPr>
            <w:r>
              <w:rPr>
                <w:sz w:val="16"/>
              </w:rPr>
              <w:t>Sign-in and restricted class management</w:t>
            </w:r>
          </w:p>
        </w:tc>
        <w:tc>
          <w:tcPr>
            <w:tcW w:type="dxa" w:w="2520"/>
            <w:vAlign w:val="center"/>
          </w:tcPr>
          <w:p>
            <w:pPr>
              <w:spacing w:after="40" w:before="40" w:line="250" w:lineRule="auto"/>
            </w:pPr>
            <w:r>
              <w:rPr>
                <w:sz w:val="16"/>
              </w:rPr>
              <w:t>Source and privacy page reviewed</w:t>
            </w:r>
          </w:p>
        </w:tc>
      </w:tr>
      <w:tr>
        <w:tc>
          <w:tcPr>
            <w:tcW w:type="dxa" w:w="3240"/>
            <w:vAlign w:val="center"/>
          </w:tcPr>
          <w:p>
            <w:pPr>
              <w:spacing w:after="40" w:before="40" w:line="250" w:lineRule="auto"/>
            </w:pPr>
            <w:r>
              <w:rPr>
                <w:sz w:val="16"/>
              </w:rPr>
              <w:t>IP address and browser metadata</w:t>
            </w:r>
          </w:p>
        </w:tc>
        <w:tc>
          <w:tcPr>
            <w:tcW w:type="dxa" w:w="3816"/>
            <w:vAlign w:val="center"/>
          </w:tcPr>
          <w:p>
            <w:pPr>
              <w:spacing w:after="40" w:before="40" w:line="250" w:lineRule="auto"/>
            </w:pPr>
            <w:r>
              <w:rPr>
                <w:sz w:val="16"/>
              </w:rPr>
              <w:t>Deliver and secure hosting, fonts and database requests</w:t>
            </w:r>
          </w:p>
        </w:tc>
        <w:tc>
          <w:tcPr>
            <w:tcW w:type="dxa" w:w="2520"/>
            <w:vAlign w:val="center"/>
          </w:tcPr>
          <w:p>
            <w:pPr>
              <w:spacing w:after="40" w:before="40" w:line="250" w:lineRule="auto"/>
            </w:pPr>
            <w:r>
              <w:rPr>
                <w:sz w:val="16"/>
              </w:rPr>
              <w:t>Provider retention and location unconfirmed</w:t>
            </w:r>
          </w:p>
        </w:tc>
      </w:tr>
    </w:tbl>
    <w:p>
      <w:pPr>
        <w:pStyle w:val="Heading1"/>
        <w:pageBreakBefore/>
      </w:pPr>
      <w:r>
        <w:t>How pupil data moves in my class</w:t>
      </w:r>
    </w:p>
    <w:p>
      <w:r>
        <w:t>A pupil enters their first name, class code and individual code in the browser. Forge checks these against its database service, associates the pupil with my class and stores their learning responses. Their browser keeps session details to resume work. I can view names and learning summaries after signing in. Hosting, font and database providers also receive technical requests. Please review whether this flow is appropriate for the pilot.</w:t>
      </w:r>
    </w:p>
    <w:tbl>
      <w:tblPr>
        <w:tblStyle w:val="LightShading-Accent1"/>
        <w:tblW w:type="auto" w:w="0"/>
        <w:jc w:val="center"/>
        <w:tblLayout w:type="fixed"/>
        <w:tblLook w:firstColumn="1" w:firstRow="1" w:lastColumn="0" w:lastRow="0" w:noHBand="0" w:noVBand="1" w:val="04A0"/>
      </w:tblPr>
      <w:tblGrid>
        <w:gridCol w:w="1872"/>
        <w:gridCol w:w="3672"/>
        <w:gridCol w:w="4032"/>
      </w:tblGrid>
      <w:tr>
        <w:tc>
          <w:tcPr>
            <w:tcW w:type="dxa" w:w="3278"/>
            <w:vAlign w:val="center"/>
          </w:tcPr>
          <w:p>
            <w:pPr>
              <w:spacing w:after="40" w:before="40" w:line="250" w:lineRule="auto"/>
            </w:pPr>
            <w:r>
              <w:rPr>
                <w:b/>
                <w:sz w:val="16"/>
              </w:rPr>
              <w:t>Stage</w:t>
            </w:r>
          </w:p>
        </w:tc>
        <w:tc>
          <w:tcPr>
            <w:tcW w:type="dxa" w:w="3278"/>
            <w:vAlign w:val="center"/>
          </w:tcPr>
          <w:p>
            <w:pPr>
              <w:spacing w:after="40" w:before="40" w:line="250" w:lineRule="auto"/>
            </w:pPr>
            <w:r>
              <w:rPr>
                <w:b/>
                <w:sz w:val="16"/>
              </w:rPr>
              <w:t>Recipient or location</w:t>
            </w:r>
          </w:p>
        </w:tc>
        <w:tc>
          <w:tcPr>
            <w:tcW w:type="dxa" w:w="3278"/>
            <w:vAlign w:val="center"/>
          </w:tcPr>
          <w:p>
            <w:pPr>
              <w:spacing w:after="40" w:before="40" w:line="250" w:lineRule="auto"/>
            </w:pPr>
            <w:r>
              <w:rPr>
                <w:b/>
                <w:sz w:val="16"/>
              </w:rPr>
              <w:t>Please check</w:t>
            </w:r>
          </w:p>
        </w:tc>
      </w:tr>
      <w:tr>
        <w:tc>
          <w:tcPr>
            <w:tcW w:type="dxa" w:w="1872"/>
            <w:vAlign w:val="center"/>
          </w:tcPr>
          <w:p>
            <w:pPr>
              <w:spacing w:after="40" w:before="40" w:line="250" w:lineRule="auto"/>
            </w:pPr>
            <w:r>
              <w:rPr>
                <w:sz w:val="16"/>
              </w:rPr>
              <w:t>Join and learning records</w:t>
            </w:r>
          </w:p>
        </w:tc>
        <w:tc>
          <w:tcPr>
            <w:tcW w:type="dxa" w:w="3672"/>
            <w:vAlign w:val="center"/>
          </w:tcPr>
          <w:p>
            <w:pPr>
              <w:spacing w:after="40" w:before="40" w:line="250" w:lineRule="auto"/>
            </w:pPr>
            <w:r>
              <w:rPr>
                <w:sz w:val="16"/>
              </w:rPr>
              <w:t>Supabase database and application API</w:t>
            </w:r>
          </w:p>
        </w:tc>
        <w:tc>
          <w:tcPr>
            <w:tcW w:type="dxa" w:w="4032"/>
            <w:vAlign w:val="center"/>
          </w:tcPr>
          <w:p>
            <w:pPr>
              <w:spacing w:after="40" w:before="40" w:line="250" w:lineRule="auto"/>
            </w:pPr>
            <w:r>
              <w:rPr>
                <w:sz w:val="16"/>
              </w:rPr>
              <w:t>Active project region, deployed migration set, access policies and backup rules</w:t>
            </w:r>
          </w:p>
        </w:tc>
      </w:tr>
      <w:tr>
        <w:tc>
          <w:tcPr>
            <w:tcW w:type="dxa" w:w="1872"/>
            <w:vAlign w:val="center"/>
          </w:tcPr>
          <w:p>
            <w:pPr>
              <w:spacing w:after="40" w:before="40" w:line="250" w:lineRule="auto"/>
            </w:pPr>
            <w:r>
              <w:rPr>
                <w:sz w:val="16"/>
              </w:rPr>
              <w:t>Pupil device</w:t>
            </w:r>
          </w:p>
        </w:tc>
        <w:tc>
          <w:tcPr>
            <w:tcW w:type="dxa" w:w="3672"/>
            <w:vAlign w:val="center"/>
          </w:tcPr>
          <w:p>
            <w:pPr>
              <w:spacing w:after="40" w:before="40" w:line="250" w:lineRule="auto"/>
            </w:pPr>
            <w:r>
              <w:rPr>
                <w:sz w:val="16"/>
              </w:rPr>
              <w:t>Browser local storage holds class and pupil details, including the individual code in clear text</w:t>
            </w:r>
          </w:p>
        </w:tc>
        <w:tc>
          <w:tcPr>
            <w:tcW w:type="dxa" w:w="4032"/>
            <w:vAlign w:val="center"/>
          </w:tcPr>
          <w:p>
            <w:pPr>
              <w:spacing w:after="40" w:before="40" w:line="250" w:lineRule="auto"/>
            </w:pPr>
            <w:r>
              <w:rPr>
                <w:sz w:val="16"/>
              </w:rPr>
              <w:t>Use of shared devices; sign-out; idle expiry in the live build</w:t>
            </w:r>
          </w:p>
        </w:tc>
      </w:tr>
      <w:tr>
        <w:tc>
          <w:tcPr>
            <w:tcW w:type="dxa" w:w="1872"/>
            <w:vAlign w:val="center"/>
          </w:tcPr>
          <w:p>
            <w:pPr>
              <w:spacing w:after="40" w:before="40" w:line="250" w:lineRule="auto"/>
            </w:pPr>
            <w:r>
              <w:rPr>
                <w:sz w:val="16"/>
              </w:rPr>
              <w:t>Teacher dashboard</w:t>
            </w:r>
          </w:p>
        </w:tc>
        <w:tc>
          <w:tcPr>
            <w:tcW w:type="dxa" w:w="3672"/>
            <w:vAlign w:val="center"/>
          </w:tcPr>
          <w:p>
            <w:pPr>
              <w:spacing w:after="40" w:before="40" w:line="250" w:lineRule="auto"/>
            </w:pPr>
            <w:r>
              <w:rPr>
                <w:sz w:val="16"/>
              </w:rPr>
              <w:t>Authenticated teacher for the class; school overview feature may expose aggregate information to authorised staff</w:t>
            </w:r>
          </w:p>
        </w:tc>
        <w:tc>
          <w:tcPr>
            <w:tcW w:type="dxa" w:w="4032"/>
            <w:vAlign w:val="center"/>
          </w:tcPr>
          <w:p>
            <w:pPr>
              <w:spacing w:after="40" w:before="40" w:line="250" w:lineRule="auto"/>
            </w:pPr>
            <w:r>
              <w:rPr>
                <w:sz w:val="16"/>
              </w:rPr>
              <w:t>Teacher roles, account owners and cross-class/school access tests</w:t>
            </w:r>
          </w:p>
        </w:tc>
      </w:tr>
      <w:tr>
        <w:tc>
          <w:tcPr>
            <w:tcW w:type="dxa" w:w="1872"/>
            <w:vAlign w:val="center"/>
          </w:tcPr>
          <w:p>
            <w:pPr>
              <w:spacing w:after="40" w:before="40" w:line="250" w:lineRule="auto"/>
            </w:pPr>
            <w:r>
              <w:rPr>
                <w:sz w:val="16"/>
              </w:rPr>
              <w:t>Web delivery</w:t>
            </w:r>
          </w:p>
        </w:tc>
        <w:tc>
          <w:tcPr>
            <w:tcW w:type="dxa" w:w="3672"/>
            <w:vAlign w:val="center"/>
          </w:tcPr>
          <w:p>
            <w:pPr>
              <w:spacing w:after="40" w:before="40" w:line="250" w:lineRule="auto"/>
            </w:pPr>
            <w:r>
              <w:rPr>
                <w:sz w:val="16"/>
              </w:rPr>
              <w:t>GitHub Pages hosting and Google Fonts</w:t>
            </w:r>
          </w:p>
        </w:tc>
        <w:tc>
          <w:tcPr>
            <w:tcW w:type="dxa" w:w="4032"/>
            <w:vAlign w:val="center"/>
          </w:tcPr>
          <w:p>
            <w:pPr>
              <w:spacing w:after="40" w:before="40" w:line="250" w:lineRule="auto"/>
            </w:pPr>
            <w:r>
              <w:rPr>
                <w:sz w:val="16"/>
              </w:rPr>
              <w:t>Request metadata, provider terms and geographic processing</w:t>
            </w:r>
          </w:p>
        </w:tc>
      </w:tr>
      <w:tr>
        <w:tc>
          <w:tcPr>
            <w:tcW w:type="dxa" w:w="1872"/>
            <w:vAlign w:val="center"/>
          </w:tcPr>
          <w:p>
            <w:pPr>
              <w:spacing w:after="40" w:before="40" w:line="250" w:lineRule="auto"/>
            </w:pPr>
            <w:r>
              <w:rPr>
                <w:sz w:val="16"/>
              </w:rPr>
              <w:t>Public-site analytics</w:t>
            </w:r>
          </w:p>
        </w:tc>
        <w:tc>
          <w:tcPr>
            <w:tcW w:type="dxa" w:w="3672"/>
            <w:vAlign w:val="center"/>
          </w:tcPr>
          <w:p>
            <w:pPr>
              <w:spacing w:after="40" w:before="40" w:line="250" w:lineRule="auto"/>
            </w:pPr>
            <w:r>
              <w:rPr>
                <w:sz w:val="16"/>
              </w:rPr>
              <w:t>Google Analytics on marketing and guide pages only after consent in the edited source</w:t>
            </w:r>
          </w:p>
        </w:tc>
        <w:tc>
          <w:tcPr>
            <w:tcW w:type="dxa" w:w="4032"/>
            <w:vAlign w:val="center"/>
          </w:tcPr>
          <w:p>
            <w:pPr>
              <w:spacing w:after="40" w:before="40" w:line="250" w:lineRule="auto"/>
            </w:pPr>
            <w:r>
              <w:rPr>
                <w:sz w:val="16"/>
              </w:rPr>
              <w:t>Deploy and confirm no Google Analytics on pupil routes; check live network traffic</w:t>
            </w:r>
          </w:p>
        </w:tc>
      </w:tr>
    </w:tbl>
    <w:p>
      <w:pPr>
        <w:pStyle w:val="Heading1"/>
      </w:pPr>
      <w:r>
        <w:t>Security measures I can show and limits to check</w:t>
      </w:r>
    </w:p>
    <w:p>
      <w:pPr>
        <w:pStyle w:val="ListBullet"/>
      </w:pPr>
      <w:r>
        <w:rPr>
          <w:b/>
        </w:rPr>
        <w:t xml:space="preserve">Individual codes: </w:t>
      </w:r>
      <w:r>
        <w:t>Source code generates private codes and stores SHA-256 digests in the database; plaintext codes are displayed on issue and remain in the pupil browser session to authenticate later requests. I confirm that my pilot requires them.</w:t>
      </w:r>
    </w:p>
    <w:p>
      <w:pPr>
        <w:pStyle w:val="ListBullet"/>
      </w:pPr>
      <w:r>
        <w:rPr>
          <w:b/>
        </w:rPr>
        <w:t xml:space="preserve">Teacher controls: </w:t>
      </w:r>
      <w:r>
        <w:t>Source includes authenticated teacher accounts, school invite controls, row-level security and class-scoped reads. The live public-access smoke check rejected anonymous access to invite codes, code hashes, teacher profiles and school overview data.</w:t>
      </w:r>
    </w:p>
    <w:p>
      <w:pPr>
        <w:pStyle w:val="ListBullet"/>
      </w:pPr>
      <w:r>
        <w:rPr>
          <w:b/>
        </w:rPr>
        <w:t xml:space="preserve">Device expiry: </w:t>
      </w:r>
      <w:r>
        <w:t>Source expires coded pupil sessions after one hour idle on a device marked shared or 14 days idle on a personal device. Please check that this is active in the live build and fits the school’s device policy.</w:t>
      </w:r>
    </w:p>
    <w:p>
      <w:pPr>
        <w:pStyle w:val="ListBullet"/>
      </w:pPr>
      <w:r>
        <w:rPr>
          <w:b/>
        </w:rPr>
        <w:t xml:space="preserve">Current limits: </w:t>
      </w:r>
      <w:r>
        <w:t>The live security check did not test a second teacher account, a second pupil code, administrator access, encryption configuration, MFA, audit logging or recovery from backups. I would like to gather separate evidence before treating these as assured.</w:t>
      </w:r>
    </w:p>
    <w:p>
      <w:pPr>
        <w:pStyle w:val="Heading1"/>
      </w:pPr>
      <w:r>
        <w:t>How I use learning profiles</w:t>
      </w:r>
    </w:p>
    <w:p>
      <w:r>
        <w:t>Forge calculates accuracy, streaks and misconception summaries from pupil responses. I use these to guide teaching. Please advise how the school wants to record their use in its assessment, including any limits on using them for grades, grouping or other consequential decisions. I will review the outputs as teaching aids rather than treat them as definitive. No pupil in this pilot uses the optional extra-time value; if that changes, please reassess whether it reveals health or disability information and update the DPIA and notice.</w:t>
      </w:r>
    </w:p>
    <w:p>
      <w:pPr>
        <w:pStyle w:val="Heading1"/>
        <w:pageBreakBefore/>
      </w:pPr>
      <w:r>
        <w:t>Providers and international transfers for your review</w:t>
      </w:r>
    </w:p>
    <w:p>
      <w:r>
        <w:t>I have separated services used for my class from those used for Forge’s wider public or paid offering. Please review which providers and transfers the school needs covered in its assessment. I still need to confirm the active account configuration, agreements and any transfer safeguards.</w:t>
      </w:r>
    </w:p>
    <w:tbl>
      <w:tblPr>
        <w:tblStyle w:val="LightShading-Accent1"/>
        <w:tblW w:type="auto" w:w="0"/>
        <w:jc w:val="center"/>
        <w:tblLayout w:type="fixed"/>
        <w:tblLook w:firstColumn="1" w:firstRow="1" w:lastColumn="0" w:lastRow="0" w:noHBand="0" w:noVBand="1" w:val="04A0"/>
      </w:tblPr>
      <w:tblGrid>
        <w:gridCol w:w="1728"/>
        <w:gridCol w:w="3672"/>
        <w:gridCol w:w="4176"/>
      </w:tblGrid>
      <w:tr>
        <w:tc>
          <w:tcPr>
            <w:tcW w:type="dxa" w:w="3278"/>
            <w:vAlign w:val="center"/>
          </w:tcPr>
          <w:p>
            <w:pPr>
              <w:spacing w:after="40" w:before="40" w:line="250" w:lineRule="auto"/>
            </w:pPr>
            <w:r>
              <w:rPr>
                <w:b/>
                <w:sz w:val="16"/>
              </w:rPr>
              <w:t>Service</w:t>
            </w:r>
          </w:p>
        </w:tc>
        <w:tc>
          <w:tcPr>
            <w:tcW w:type="dxa" w:w="3278"/>
            <w:vAlign w:val="center"/>
          </w:tcPr>
          <w:p>
            <w:pPr>
              <w:spacing w:after="40" w:before="40" w:line="250" w:lineRule="auto"/>
            </w:pPr>
            <w:r>
              <w:rPr>
                <w:b/>
                <w:sz w:val="16"/>
              </w:rPr>
              <w:t>Relevance to my class</w:t>
            </w:r>
          </w:p>
        </w:tc>
        <w:tc>
          <w:tcPr>
            <w:tcW w:type="dxa" w:w="3278"/>
            <w:vAlign w:val="center"/>
          </w:tcPr>
          <w:p>
            <w:pPr>
              <w:spacing w:after="40" w:before="40" w:line="250" w:lineRule="auto"/>
            </w:pPr>
            <w:r>
              <w:rPr>
                <w:b/>
                <w:sz w:val="16"/>
              </w:rPr>
              <w:t>What I need to confirm</w:t>
            </w:r>
          </w:p>
        </w:tc>
      </w:tr>
      <w:tr>
        <w:tc>
          <w:tcPr>
            <w:tcW w:type="dxa" w:w="1728"/>
            <w:vAlign w:val="center"/>
          </w:tcPr>
          <w:p>
            <w:pPr>
              <w:spacing w:after="40" w:before="40" w:line="250" w:lineRule="auto"/>
            </w:pPr>
            <w:r>
              <w:rPr>
                <w:sz w:val="16"/>
              </w:rPr>
              <w:t>Supabase</w:t>
            </w:r>
          </w:p>
        </w:tc>
        <w:tc>
          <w:tcPr>
            <w:tcW w:type="dxa" w:w="3672"/>
            <w:vAlign w:val="center"/>
          </w:tcPr>
          <w:p>
            <w:pPr>
              <w:spacing w:after="40" w:before="40" w:line="250" w:lineRule="auto"/>
            </w:pPr>
            <w:r>
              <w:rPr>
                <w:sz w:val="16"/>
              </w:rPr>
              <w:t>Database and authentication service for class and teacher records</w:t>
            </w:r>
          </w:p>
        </w:tc>
        <w:tc>
          <w:tcPr>
            <w:tcW w:type="dxa" w:w="4176"/>
            <w:vAlign w:val="center"/>
          </w:tcPr>
          <w:p>
            <w:pPr>
              <w:spacing w:after="40" w:before="40" w:line="250" w:lineRule="auto"/>
            </w:pPr>
            <w:r>
              <w:rPr>
                <w:sz w:val="16"/>
              </w:rPr>
              <w:t>Project region, signed terms/DPA, subprocessors, backups, logs and transfer assessment</w:t>
            </w:r>
          </w:p>
        </w:tc>
      </w:tr>
      <w:tr>
        <w:tc>
          <w:tcPr>
            <w:tcW w:type="dxa" w:w="1728"/>
            <w:vAlign w:val="center"/>
          </w:tcPr>
          <w:p>
            <w:pPr>
              <w:spacing w:after="40" w:before="40" w:line="250" w:lineRule="auto"/>
            </w:pPr>
            <w:r>
              <w:rPr>
                <w:sz w:val="16"/>
              </w:rPr>
              <w:t>GitHub Pages</w:t>
            </w:r>
          </w:p>
        </w:tc>
        <w:tc>
          <w:tcPr>
            <w:tcW w:type="dxa" w:w="3672"/>
            <w:vAlign w:val="center"/>
          </w:tcPr>
          <w:p>
            <w:pPr>
              <w:spacing w:after="40" w:before="40" w:line="250" w:lineRule="auto"/>
            </w:pPr>
            <w:r>
              <w:rPr>
                <w:sz w:val="16"/>
              </w:rPr>
              <w:t>Hosts static application files; receives technical web requests</w:t>
            </w:r>
          </w:p>
        </w:tc>
        <w:tc>
          <w:tcPr>
            <w:tcW w:type="dxa" w:w="4176"/>
            <w:vAlign w:val="center"/>
          </w:tcPr>
          <w:p>
            <w:pPr>
              <w:spacing w:after="40" w:before="40" w:line="250" w:lineRule="auto"/>
            </w:pPr>
            <w:r>
              <w:rPr>
                <w:sz w:val="16"/>
              </w:rPr>
              <w:t>Hosting terms, log handling and location of technical processing</w:t>
            </w:r>
          </w:p>
        </w:tc>
      </w:tr>
      <w:tr>
        <w:tc>
          <w:tcPr>
            <w:tcW w:type="dxa" w:w="1728"/>
            <w:vAlign w:val="center"/>
          </w:tcPr>
          <w:p>
            <w:pPr>
              <w:spacing w:after="40" w:before="40" w:line="250" w:lineRule="auto"/>
            </w:pPr>
            <w:r>
              <w:rPr>
                <w:sz w:val="16"/>
              </w:rPr>
              <w:t>Google Fonts</w:t>
            </w:r>
          </w:p>
        </w:tc>
        <w:tc>
          <w:tcPr>
            <w:tcW w:type="dxa" w:w="3672"/>
            <w:vAlign w:val="center"/>
          </w:tcPr>
          <w:p>
            <w:pPr>
              <w:spacing w:after="40" w:before="40" w:line="250" w:lineRule="auto"/>
            </w:pPr>
            <w:r>
              <w:rPr>
                <w:sz w:val="16"/>
              </w:rPr>
              <w:t>Browsers request font files; provider can receive technical request data</w:t>
            </w:r>
          </w:p>
        </w:tc>
        <w:tc>
          <w:tcPr>
            <w:tcW w:type="dxa" w:w="4176"/>
            <w:vAlign w:val="center"/>
          </w:tcPr>
          <w:p>
            <w:pPr>
              <w:spacing w:after="40" w:before="40" w:line="250" w:lineRule="auto"/>
            </w:pPr>
            <w:r>
              <w:rPr>
                <w:sz w:val="16"/>
              </w:rPr>
              <w:t>Whether school policy permits this dependency and relevant provider information</w:t>
            </w:r>
          </w:p>
        </w:tc>
      </w:tr>
      <w:tr>
        <w:tc>
          <w:tcPr>
            <w:tcW w:type="dxa" w:w="1728"/>
            <w:vAlign w:val="center"/>
          </w:tcPr>
          <w:p>
            <w:pPr>
              <w:spacing w:after="40" w:before="40" w:line="250" w:lineRule="auto"/>
            </w:pPr>
            <w:r>
              <w:rPr>
                <w:sz w:val="16"/>
              </w:rPr>
              <w:t>Google Analytics</w:t>
            </w:r>
          </w:p>
        </w:tc>
        <w:tc>
          <w:tcPr>
            <w:tcW w:type="dxa" w:w="3672"/>
            <w:vAlign w:val="center"/>
          </w:tcPr>
          <w:p>
            <w:pPr>
              <w:spacing w:after="40" w:before="40" w:line="250" w:lineRule="auto"/>
            </w:pPr>
            <w:r>
              <w:rPr>
                <w:sz w:val="16"/>
              </w:rPr>
              <w:t>Edited source limits it to consented marketing/guide pages; not required for pupil learning</w:t>
            </w:r>
          </w:p>
        </w:tc>
        <w:tc>
          <w:tcPr>
            <w:tcW w:type="dxa" w:w="4176"/>
            <w:vAlign w:val="center"/>
          </w:tcPr>
          <w:p>
            <w:pPr>
              <w:spacing w:after="40" w:before="40" w:line="250" w:lineRule="auto"/>
            </w:pPr>
            <w:r>
              <w:rPr>
                <w:sz w:val="16"/>
              </w:rPr>
              <w:t>Deployment and live network confirmation; verify any pre-existing pupil analytics data</w:t>
            </w:r>
          </w:p>
        </w:tc>
      </w:tr>
      <w:tr>
        <w:tc>
          <w:tcPr>
            <w:tcW w:type="dxa" w:w="1728"/>
            <w:vAlign w:val="center"/>
          </w:tcPr>
          <w:p>
            <w:pPr>
              <w:spacing w:after="40" w:before="40" w:line="250" w:lineRule="auto"/>
            </w:pPr>
            <w:r>
              <w:rPr>
                <w:sz w:val="16"/>
              </w:rPr>
              <w:t>Stripe / Formspree</w:t>
            </w:r>
          </w:p>
        </w:tc>
        <w:tc>
          <w:tcPr>
            <w:tcW w:type="dxa" w:w="3672"/>
            <w:vAlign w:val="center"/>
          </w:tcPr>
          <w:p>
            <w:pPr>
              <w:spacing w:after="40" w:before="40" w:line="250" w:lineRule="auto"/>
            </w:pPr>
            <w:r>
              <w:rPr>
                <w:sz w:val="16"/>
              </w:rPr>
              <w:t>Used for separate subscriptions or waitlist, not needed for class joining</w:t>
            </w:r>
          </w:p>
        </w:tc>
        <w:tc>
          <w:tcPr>
            <w:tcW w:type="dxa" w:w="4176"/>
            <w:vAlign w:val="center"/>
          </w:tcPr>
          <w:p>
            <w:pPr>
              <w:spacing w:after="40" w:before="40" w:line="250" w:lineRule="auto"/>
            </w:pPr>
            <w:r>
              <w:rPr>
                <w:sz w:val="16"/>
              </w:rPr>
              <w:t>Confirm no pilot pupil enters those flows</w:t>
            </w:r>
          </w:p>
        </w:tc>
      </w:tr>
    </w:tbl>
    <w:p>
      <w:pPr>
        <w:pStyle w:val="Heading1"/>
      </w:pPr>
      <w:r>
        <w:t>Retention deletion and exit for us to agree</w:t>
      </w:r>
    </w:p>
    <w:p>
      <w:pPr>
        <w:pStyle w:val="ListBullet"/>
      </w:pPr>
      <w:r>
        <w:rPr>
          <w:b/>
        </w:rPr>
        <w:t xml:space="preserve">Current source behaviour: </w:t>
      </w:r>
      <w:r>
        <w:t>The class deletion design cascades to linked pupil and answer records. No automatic academic-year purge or complete backup deletion process was verified.</w:t>
      </w:r>
    </w:p>
    <w:p>
      <w:pPr>
        <w:pStyle w:val="ListBullet"/>
      </w:pPr>
      <w:r>
        <w:rPr>
          <w:b/>
        </w:rPr>
        <w:t xml:space="preserve">Agreement needed: </w:t>
      </w:r>
      <w:r>
        <w:t>Please agree a pilot end date and retention period with me, decide whether the school needs an export and set the timing for deletion and written confirmation. We should cover backups, provider logs and local browser copies.</w:t>
      </w:r>
    </w:p>
    <w:p>
      <w:pPr>
        <w:pStyle w:val="ListBullet"/>
      </w:pPr>
      <w:r>
        <w:rPr>
          <w:b/>
        </w:rPr>
        <w:t xml:space="preserve">Rights requests: </w:t>
      </w:r>
      <w:r>
        <w:t>Please confirm the school’s route for pupil and parent requests. Forge should assist with search, correction, export or deletion under the agreed terms.</w:t>
      </w:r>
    </w:p>
    <w:p>
      <w:pPr>
        <w:pStyle w:val="ListBullet"/>
      </w:pPr>
      <w:r>
        <w:rPr>
          <w:b/>
        </w:rPr>
        <w:t xml:space="preserve">Incident response: </w:t>
      </w:r>
      <w:r>
        <w:t>Please agree a named school contact, the Forge contact and a notification deadline. The revised local privacy text says Forge will notify the school without undue delay; I need your review of the signed agreement and operational procedure.</w:t>
      </w:r>
    </w:p>
    <w:p>
      <w:pPr>
        <w:pStyle w:val="Heading1"/>
        <w:pageBreakBefore/>
      </w:pPr>
      <w:r>
        <w:t>Questions I would like your DPIA to consider</w:t>
      </w:r>
    </w:p>
    <w:tbl>
      <w:tblPr>
        <w:tblStyle w:val="LightShading-Accent1"/>
        <w:tblW w:type="auto" w:w="0"/>
        <w:jc w:val="center"/>
        <w:tblLayout w:type="fixed"/>
        <w:tblLook w:firstColumn="1" w:firstRow="1" w:lastColumn="0" w:lastRow="0" w:noHBand="0" w:noVBand="1" w:val="04A0"/>
      </w:tblPr>
      <w:tblGrid>
        <w:gridCol w:w="2880"/>
        <w:gridCol w:w="6696"/>
      </w:tblGrid>
      <w:tr>
        <w:tc>
          <w:tcPr>
            <w:tcW w:type="dxa" w:w="4917"/>
            <w:vAlign w:val="center"/>
          </w:tcPr>
          <w:p>
            <w:pPr>
              <w:spacing w:after="40" w:before="40" w:line="250" w:lineRule="auto"/>
            </w:pPr>
            <w:r>
              <w:rPr>
                <w:b/>
                <w:sz w:val="16"/>
              </w:rPr>
              <w:t>Question for your review</w:t>
            </w:r>
          </w:p>
        </w:tc>
        <w:tc>
          <w:tcPr>
            <w:tcW w:type="dxa" w:w="4917"/>
            <w:vAlign w:val="center"/>
          </w:tcPr>
          <w:p>
            <w:pPr>
              <w:spacing w:after="40" w:before="40" w:line="250" w:lineRule="auto"/>
            </w:pPr>
            <w:r>
              <w:rPr>
                <w:b/>
                <w:sz w:val="16"/>
              </w:rPr>
              <w:t>Relevant fact and proposed action</w:t>
            </w:r>
          </w:p>
        </w:tc>
      </w:tr>
      <w:tr>
        <w:tc>
          <w:tcPr>
            <w:tcW w:type="dxa" w:w="2880"/>
            <w:vAlign w:val="center"/>
          </w:tcPr>
          <w:p>
            <w:pPr>
              <w:spacing w:after="40" w:before="40" w:line="250" w:lineRule="auto"/>
            </w:pPr>
            <w:r>
              <w:rPr>
                <w:sz w:val="16"/>
              </w:rPr>
              <w:t>Is this necessary and proportionate?</w:t>
            </w:r>
          </w:p>
        </w:tc>
        <w:tc>
          <w:tcPr>
            <w:tcW w:type="dxa" w:w="6696"/>
            <w:vAlign w:val="center"/>
          </w:tcPr>
          <w:p>
            <w:pPr>
              <w:spacing w:after="40" w:before="40" w:line="250" w:lineRule="auto"/>
            </w:pPr>
            <w:r>
              <w:rPr>
                <w:sz w:val="16"/>
              </w:rPr>
              <w:t>First names and codes limit direct identifiers, but detailed response history is kept. Record why each learning metric and teacher view is needed.</w:t>
            </w:r>
          </w:p>
        </w:tc>
      </w:tr>
      <w:tr>
        <w:tc>
          <w:tcPr>
            <w:tcW w:type="dxa" w:w="2880"/>
            <w:vAlign w:val="center"/>
          </w:tcPr>
          <w:p>
            <w:pPr>
              <w:spacing w:after="40" w:before="40" w:line="250" w:lineRule="auto"/>
            </w:pPr>
            <w:r>
              <w:rPr>
                <w:sz w:val="16"/>
              </w:rPr>
              <w:t>Can a pupil see another record?</w:t>
            </w:r>
          </w:p>
        </w:tc>
        <w:tc>
          <w:tcPr>
            <w:tcW w:type="dxa" w:w="6696"/>
            <w:vAlign w:val="center"/>
          </w:tcPr>
          <w:p>
            <w:pPr>
              <w:spacing w:after="40" w:before="40" w:line="250" w:lineRule="auto"/>
            </w:pPr>
            <w:r>
              <w:rPr>
                <w:sz w:val="16"/>
              </w:rPr>
              <w:t>Teacher confirms code enforcement in the pilot. Keep a dated test note and repeat after access changes.</w:t>
            </w:r>
          </w:p>
        </w:tc>
      </w:tr>
      <w:tr>
        <w:tc>
          <w:tcPr>
            <w:tcW w:type="dxa" w:w="2880"/>
            <w:vAlign w:val="center"/>
          </w:tcPr>
          <w:p>
            <w:pPr>
              <w:spacing w:after="40" w:before="40" w:line="250" w:lineRule="auto"/>
            </w:pPr>
            <w:r>
              <w:rPr>
                <w:sz w:val="16"/>
              </w:rPr>
              <w:t>Can staff see records outside their remit?</w:t>
            </w:r>
          </w:p>
        </w:tc>
        <w:tc>
          <w:tcPr>
            <w:tcW w:type="dxa" w:w="6696"/>
            <w:vAlign w:val="center"/>
          </w:tcPr>
          <w:p>
            <w:pPr>
              <w:spacing w:after="40" w:before="40" w:line="250" w:lineRule="auto"/>
            </w:pPr>
            <w:r>
              <w:rPr>
                <w:sz w:val="16"/>
              </w:rPr>
              <w:t>Source contains class-scoped rules; run a second-account live test and record the result.</w:t>
            </w:r>
          </w:p>
        </w:tc>
      </w:tr>
      <w:tr>
        <w:tc>
          <w:tcPr>
            <w:tcW w:type="dxa" w:w="2880"/>
            <w:vAlign w:val="center"/>
          </w:tcPr>
          <w:p>
            <w:pPr>
              <w:spacing w:after="40" w:before="40" w:line="250" w:lineRule="auto"/>
            </w:pPr>
            <w:r>
              <w:rPr>
                <w:sz w:val="16"/>
              </w:rPr>
              <w:t>Could a shared device expose a code?</w:t>
            </w:r>
          </w:p>
        </w:tc>
        <w:tc>
          <w:tcPr>
            <w:tcW w:type="dxa" w:w="6696"/>
            <w:vAlign w:val="center"/>
          </w:tcPr>
          <w:p>
            <w:pPr>
              <w:spacing w:after="40" w:before="40" w:line="250" w:lineRule="auto"/>
            </w:pPr>
            <w:r>
              <w:rPr>
                <w:sz w:val="16"/>
              </w:rPr>
              <w:t>The browser stores individual codes. Confirm shared-device mode, idle expiry and pupil sign-out practice.</w:t>
            </w:r>
          </w:p>
        </w:tc>
      </w:tr>
      <w:tr>
        <w:tc>
          <w:tcPr>
            <w:tcW w:type="dxa" w:w="2880"/>
            <w:vAlign w:val="center"/>
          </w:tcPr>
          <w:p>
            <w:pPr>
              <w:spacing w:after="40" w:before="40" w:line="250" w:lineRule="auto"/>
            </w:pPr>
            <w:r>
              <w:rPr>
                <w:sz w:val="16"/>
              </w:rPr>
              <w:t>Could learning profiles unfairly label pupils?</w:t>
            </w:r>
          </w:p>
        </w:tc>
        <w:tc>
          <w:tcPr>
            <w:tcW w:type="dxa" w:w="6696"/>
            <w:vAlign w:val="center"/>
          </w:tcPr>
          <w:p>
            <w:pPr>
              <w:spacing w:after="40" w:before="40" w:line="250" w:lineRule="auto"/>
            </w:pPr>
            <w:r>
              <w:rPr>
                <w:sz w:val="16"/>
              </w:rPr>
              <w:t>Accuracy and misconception labels are derived from answers. Record teacher oversight, correction routes and limits on consequential use.</w:t>
            </w:r>
          </w:p>
        </w:tc>
      </w:tr>
      <w:tr>
        <w:tc>
          <w:tcPr>
            <w:tcW w:type="dxa" w:w="2880"/>
            <w:vAlign w:val="center"/>
          </w:tcPr>
          <w:p>
            <w:pPr>
              <w:spacing w:after="40" w:before="40" w:line="250" w:lineRule="auto"/>
            </w:pPr>
            <w:r>
              <w:rPr>
                <w:sz w:val="16"/>
              </w:rPr>
              <w:t>Is sensitive information involved?</w:t>
            </w:r>
          </w:p>
        </w:tc>
        <w:tc>
          <w:tcPr>
            <w:tcW w:type="dxa" w:w="6696"/>
            <w:vAlign w:val="center"/>
          </w:tcPr>
          <w:p>
            <w:pPr>
              <w:spacing w:after="40" w:before="40" w:line="250" w:lineRule="auto"/>
            </w:pPr>
            <w:r>
              <w:rPr>
                <w:sz w:val="16"/>
              </w:rPr>
              <w:t>I have not enabled extra time for this pilot. Please reassess if this or any free-text or sensitive input is enabled.</w:t>
            </w:r>
          </w:p>
        </w:tc>
      </w:tr>
      <w:tr>
        <w:tc>
          <w:tcPr>
            <w:tcW w:type="dxa" w:w="2880"/>
            <w:vAlign w:val="center"/>
          </w:tcPr>
          <w:p>
            <w:pPr>
              <w:spacing w:after="40" w:before="40" w:line="250" w:lineRule="auto"/>
            </w:pPr>
            <w:r>
              <w:rPr>
                <w:sz w:val="16"/>
              </w:rPr>
              <w:t>Could data persist or transfer unexpectedly?</w:t>
            </w:r>
          </w:p>
        </w:tc>
        <w:tc>
          <w:tcPr>
            <w:tcW w:type="dxa" w:w="6696"/>
            <w:vAlign w:val="center"/>
          </w:tcPr>
          <w:p>
            <w:pPr>
              <w:spacing w:after="40" w:before="40" w:line="250" w:lineRule="auto"/>
            </w:pPr>
            <w:r>
              <w:rPr>
                <w:sz w:val="16"/>
              </w:rPr>
              <w:t>Agree retention and supplier evidence for database, backups, logs and technical requests before sign-off.</w:t>
            </w:r>
          </w:p>
        </w:tc>
      </w:tr>
    </w:tbl>
    <w:p>
      <w:pPr>
        <w:pStyle w:val="Heading1"/>
      </w:pPr>
      <w:r>
        <w:t>Evidence I can help gather for you</w:t>
      </w:r>
    </w:p>
    <w:p>
      <w:pPr>
        <w:pStyle w:val="ListBullet"/>
      </w:pPr>
      <w:r>
        <w:rPr>
          <w:b/>
        </w:rPr>
        <w:t xml:space="preserve">School decisions: </w:t>
      </w:r>
      <w:r>
        <w:t>Please confirm the school or trust identity, DPO contact, lawful basis, pilot dates and pupil count, device policy, approved notice, safeguarding and IT review, and sign-off record.</w:t>
      </w:r>
    </w:p>
    <w:p>
      <w:pPr>
        <w:pStyle w:val="ListBullet"/>
      </w:pPr>
      <w:r>
        <w:rPr>
          <w:b/>
        </w:rPr>
        <w:t xml:space="preserve">Forge supplier material: </w:t>
      </w:r>
      <w:r>
        <w:t>I need to confirm the legal entity and address, processor contact, signed Article 28 terms, subprocessor schedule, project region, transfer safeguards, security and incident procedures, access-test results, retention and deletion procedure, and export method.</w:t>
      </w:r>
    </w:p>
    <w:p>
      <w:pPr>
        <w:pStyle w:val="ListBullet"/>
      </w:pPr>
      <w:r>
        <w:rPr>
          <w:b/>
        </w:rPr>
        <w:t xml:space="preserve">Live service evidence: </w:t>
      </w:r>
      <w:r>
        <w:t>I can gather screenshots or exports of the project region and settings, deployment version, dated code-enforcement and cross-account tests, pupil-page network requests, and backup/log configuration.</w:t>
      </w:r>
    </w:p>
    <w:p>
      <w:pPr>
        <w:pStyle w:val="ListBullet"/>
      </w:pPr>
      <w:r>
        <w:rPr>
          <w:b/>
        </w:rPr>
        <w:t xml:space="preserve">My pilot record: </w:t>
      </w:r>
      <w:r>
        <w:t>I can document how I issued individual codes privately, who holds the teacher account, how shared devices are used, whether any direct Pro/trial accounts are used, and which optional settings are enabled.</w:t>
      </w:r>
    </w:p>
    <w:p>
      <w:pPr>
        <w:pStyle w:val="Heading1"/>
      </w:pPr>
      <w:r>
        <w:t>What I can substantiate today</w:t>
      </w:r>
    </w:p>
    <w:p>
      <w:r>
        <w:t>I have confirmed individual codes, rejection of first name plus class code alone and no use of extra time. The source review covered response fields, code hashing, class-scoped rules, local session expiry and deletion cascade. A live public-boundary test passed on 21 September 2026; it checked anonymous access only. I still need evidence of the signed school agreement, live project region, provider documents, complete retention and deletion process, cross-account tests, and deployment of the privacy and analytics edits.</w:t>
      </w:r>
    </w:p>
    <w:p>
      <w:pPr>
        <w:pStyle w:val="Heading1"/>
      </w:pPr>
      <w:r>
        <w:t>Source and guidance references</w:t>
      </w:r>
    </w:p>
    <w:p>
      <w:r>
        <w:t>Repository evidence reviewed</w:t>
      </w:r>
    </w:p>
    <w:p>
      <w:pPr>
        <w:pStyle w:val="ListBullet"/>
      </w:pPr>
      <w:r>
        <w:t>supabase/migrations/20260809150000_student_access_codes.sql and 20260810133000_disable_legacy_student_rpc_on_coded_classes.sql</w:t>
      </w:r>
    </w:p>
    <w:p>
      <w:pPr>
        <w:pStyle w:val="ListBullet"/>
      </w:pPr>
      <w:r>
        <w:t>supabase/migrations/20260821200000_scope_teacher_reads_to_own_students.sql and 20260810130000_cascade_class_cleanup.sql</w:t>
      </w:r>
    </w:p>
    <w:p>
      <w:pPr>
        <w:pStyle w:val="ListBullet"/>
      </w:pPr>
      <w:r>
        <w:t>supabase/migrations/20260817184431_scope_response_assignment_id_v2.sql and scripts/forge-response-writer.js</w:t>
      </w:r>
    </w:p>
    <w:p>
      <w:pPr>
        <w:pStyle w:val="ListBullet"/>
      </w:pPr>
      <w:r>
        <w:t>scripts/forge-student-session.js; pages/app/teacher.html; pages/marketing/privacy.html; dev/audit-supabase-security.js</w:t>
      </w:r>
    </w:p>
    <w:p>
      <w:r>
        <w:t>Official guidance</w:t>
      </w:r>
    </w:p>
    <w:p>
      <w:pPr>
        <w:pStyle w:val="ListBullet"/>
      </w:pPr>
      <w:hyperlink r:id="rId9">
        <w:r>
          <w:rPr>
            <w:color w:val="24527A"/>
          </w:rPr>
          <w:t>Department for Education: Procuring educational technology</w:t>
        </w:r>
      </w:hyperlink>
    </w:p>
    <w:p>
      <w:pPr>
        <w:pStyle w:val="ListBullet"/>
      </w:pPr>
      <w:hyperlink r:id="rId10">
        <w:r>
          <w:rPr>
            <w:color w:val="24527A"/>
          </w:rPr>
          <w:t>Information Commissioner’s Office: How do we do a DPIA?</w:t>
        </w:r>
      </w:hyperlink>
    </w:p>
    <w:p>
      <w:pPr>
        <w:pStyle w:val="ListBullet"/>
      </w:pPr>
      <w:hyperlink r:id="rId11">
        <w:r>
          <w:rPr>
            <w:color w:val="24527A"/>
          </w:rPr>
          <w:t>Information Commissioner’s Office: Children’s code and edtech</w:t>
        </w:r>
      </w:hyperlink>
    </w:p>
    <w:p>
      <w:pPr>
        <w:pStyle w:val="ListBullet"/>
      </w:pPr>
      <w:hyperlink r:id="rId12">
        <w:r>
          <w:rPr>
            <w:color w:val="24527A"/>
          </w:rPr>
          <w:t>Information Commissioner’s Office: Controller and processor contract contents</w:t>
        </w:r>
      </w:hyperlink>
    </w:p>
    <w:p>
      <w:pPr>
        <w:pStyle w:val="ListBullet"/>
      </w:pPr>
      <w:hyperlink r:id="rId13">
        <w:r>
          <w:rPr>
            <w:color w:val="24527A"/>
          </w:rPr>
          <w:t>Information Commissioner’s Office: Special category data</w:t>
        </w:r>
      </w:hyperlink>
    </w:p>
    <w:p>
      <w:r>
        <w:t>Please let me know which of the open items you need first and how you would like to record the school’s decision. I can supply the repository evidence and work with you on the live-service checks and pilot operating details.</w:t>
      </w:r>
    </w:p>
    <w:sectPr w:rsidR="00FC693F" w:rsidRPr="0006063C" w:rsidSect="00034616">
      <w:footerReference w:type="default" r:id="rId14"/>
      <w:pgSz w:w="11909" w:h="16834"/>
      <w:pgMar w:top="979" w:right="1037" w:bottom="90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2"/>
        <w:sz w:val="16"/>
      </w:rPr>
      <w:t>Forge Year 10 pilot  |  DPO information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E283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62C3D"/>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62C3D"/>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Bdr>
        <w:bottom w:val="nil"/>
      </w:pBdr>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9"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v.uk/guidance/data-protection-in-schools/procuring-educational-technology-edtech" TargetMode="External"/><Relationship Id="rId10" Type="http://schemas.openxmlformats.org/officeDocument/2006/relationships/hyperlink" Target="https://ico.org.uk/for-organisations/uk-gdpr-guidance-and-resources/accountability-and-governance/data-protection-impact-assessments-dpias/how-do-we-do-a-dpia/" TargetMode="External"/><Relationship Id="rId11" Type="http://schemas.openxmlformats.org/officeDocument/2006/relationships/hyperlink" Target="https://ico.org.uk/for-organisations/uk-gdpr-guidance-and-resources/childrens-information/childrens-code-guidance-and-resources/the-children-s-code-and-education-technologies-edtech/" TargetMode="External"/><Relationship Id="rId12"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13" Type="http://schemas.openxmlformats.org/officeDocument/2006/relationships/hyperlink" Target="https://ico.org.uk/for-organisations/uk-gdpr-guidance-and-resources/lawful-basis/a-guide-to-lawful-basis/special-category-data/"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Year 10 pilot data protection review</dc:title>
  <dc:subject>Supplier information for school DPIA and data protection review</dc:subject>
  <dc:creator>Forge Education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