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 Year 10 pilot data protection brief</w:t>
      </w:r>
    </w:p>
    <w:p>
      <w:r>
        <w:rPr>
          <w:b/>
          <w:color w:val="4B5764"/>
        </w:rPr>
        <w:t>For the school data protection officer  |  21 September 2026</w:t>
      </w:r>
    </w:p>
    <w:p>
      <w:r>
        <w:t>This brief brings together the facts available about the Year 10 pilot, the safeguards already reported, and the evidence still needed for the school’s DPIA screening and supplier review. It contains no pupil names or access codes.</w:t>
      </w:r>
    </w:p>
    <w:p>
      <w:pPr>
        <w:pStyle w:val="Heading1"/>
      </w:pPr>
      <w:r>
        <w:t>Pilot facts confirmed by the teacher</w:t>
      </w:r>
    </w:p>
    <w:p>
      <w:pPr>
        <w:pStyle w:val="ListBullet"/>
      </w:pPr>
      <w:r>
        <w:t>Each pupil joined with a first name, the class code and an individual pupil code.</w:t>
      </w:r>
    </w:p>
    <w:p>
      <w:pPr>
        <w:pStyle w:val="ListBullet"/>
      </w:pPr>
      <w:r>
        <w:t>Each individual code is known only to that pupil and the teacher.</w:t>
      </w:r>
    </w:p>
    <w:p>
      <w:pPr>
        <w:pStyle w:val="ListBullet"/>
      </w:pPr>
      <w:r>
        <w:t>The live pilot class rejects a first name and class code without the individual pupil code.</w:t>
      </w:r>
    </w:p>
    <w:p>
      <w:pPr>
        <w:pStyle w:val="ListBullet"/>
      </w:pPr>
      <w:r>
        <w:t>Pupils do not need an email address for class access.</w:t>
      </w:r>
    </w:p>
    <w:p>
      <w:pPr>
        <w:spacing w:before="100"/>
      </w:pPr>
      <w:r>
        <w:t>These points are teacher confirmations. Forge’s source code supports individual codes and disables its older join route for classes with active individual codes. The live database configuration has not been independently inspected for this brief.</w:t>
      </w:r>
    </w:p>
    <w:p>
      <w:pPr>
        <w:pStyle w:val="Heading1"/>
      </w:pPr>
      <w:r>
        <w:t>What Forge handles</w:t>
      </w:r>
    </w:p>
    <w:tbl>
      <w:tblPr>
        <w:tblStyle w:val="LightShading-Accent1"/>
        <w:tblW w:type="auto" w:w="0"/>
        <w:jc w:val="center"/>
        <w:tblLayout w:type="fixed"/>
        <w:tblLook w:firstColumn="1" w:firstRow="1" w:lastColumn="0" w:lastRow="0" w:noHBand="0" w:noVBand="1" w:val="04A0"/>
      </w:tblPr>
      <w:tblGrid>
        <w:gridCol w:w="1814"/>
        <w:gridCol w:w="3816"/>
        <w:gridCol w:w="4162"/>
      </w:tblGrid>
      <w:tr>
        <w:tc>
          <w:tcPr>
            <w:tcW w:type="dxa" w:w="3331"/>
            <w:vAlign w:val="center"/>
          </w:tcPr>
          <w:p>
            <w:pPr>
              <w:spacing w:after="40" w:before="40"/>
            </w:pPr>
            <w:r>
              <w:rPr>
                <w:b/>
                <w:sz w:val="17"/>
              </w:rPr>
              <w:t>Activity</w:t>
            </w:r>
          </w:p>
        </w:tc>
        <w:tc>
          <w:tcPr>
            <w:tcW w:type="dxa" w:w="3331"/>
            <w:vAlign w:val="center"/>
          </w:tcPr>
          <w:p>
            <w:pPr>
              <w:spacing w:after="40" w:before="40"/>
            </w:pPr>
            <w:r>
              <w:rPr>
                <w:b/>
                <w:sz w:val="17"/>
              </w:rPr>
              <w:t>Data involved</w:t>
            </w:r>
          </w:p>
        </w:tc>
        <w:tc>
          <w:tcPr>
            <w:tcW w:type="dxa" w:w="3331"/>
            <w:vAlign w:val="center"/>
          </w:tcPr>
          <w:p>
            <w:pPr>
              <w:spacing w:after="40" w:before="40"/>
            </w:pPr>
            <w:r>
              <w:rPr>
                <w:b/>
                <w:sz w:val="17"/>
              </w:rPr>
              <w:t>Purpose</w:t>
            </w:r>
          </w:p>
        </w:tc>
      </w:tr>
      <w:tr>
        <w:tc>
          <w:tcPr>
            <w:tcW w:type="dxa" w:w="1814"/>
            <w:vAlign w:val="center"/>
          </w:tcPr>
          <w:p>
            <w:pPr>
              <w:spacing w:after="40" w:before="40"/>
            </w:pPr>
            <w:r>
              <w:rPr>
                <w:sz w:val="17"/>
              </w:rPr>
              <w:t>Joining a class</w:t>
            </w:r>
          </w:p>
        </w:tc>
        <w:tc>
          <w:tcPr>
            <w:tcW w:type="dxa" w:w="3816"/>
            <w:vAlign w:val="center"/>
          </w:tcPr>
          <w:p>
            <w:pPr>
              <w:spacing w:after="40" w:before="40"/>
            </w:pPr>
            <w:r>
              <w:rPr>
                <w:sz w:val="17"/>
              </w:rPr>
              <w:t>First name or display name, class code, individual pupil code, class and pupil identifiers</w:t>
            </w:r>
          </w:p>
        </w:tc>
        <w:tc>
          <w:tcPr>
            <w:tcW w:type="dxa" w:w="4162"/>
            <w:vAlign w:val="center"/>
          </w:tcPr>
          <w:p>
            <w:pPr>
              <w:spacing w:after="40" w:before="40"/>
            </w:pPr>
            <w:r>
              <w:rPr>
                <w:sz w:val="17"/>
              </w:rPr>
              <w:t>Links a pupil to the correct class record.</w:t>
            </w:r>
          </w:p>
        </w:tc>
      </w:tr>
      <w:tr>
        <w:tc>
          <w:tcPr>
            <w:tcW w:type="dxa" w:w="1814"/>
            <w:vAlign w:val="center"/>
          </w:tcPr>
          <w:p>
            <w:pPr>
              <w:spacing w:after="40" w:before="40"/>
            </w:pPr>
            <w:r>
              <w:rPr>
                <w:sz w:val="17"/>
              </w:rPr>
              <w:t>Learning activity</w:t>
            </w:r>
          </w:p>
        </w:tc>
        <w:tc>
          <w:tcPr>
            <w:tcW w:type="dxa" w:w="3816"/>
            <w:vAlign w:val="center"/>
          </w:tcPr>
          <w:p>
            <w:pPr>
              <w:spacing w:after="40" w:before="40"/>
            </w:pPr>
            <w:r>
              <w:rPr>
                <w:sz w:val="17"/>
              </w:rPr>
              <w:t>Question ID, selected option, correctness, subject, misconception tag, assignment and time</w:t>
            </w:r>
          </w:p>
        </w:tc>
        <w:tc>
          <w:tcPr>
            <w:tcW w:type="dxa" w:w="4162"/>
            <w:vAlign w:val="center"/>
          </w:tcPr>
          <w:p>
            <w:pPr>
              <w:spacing w:after="40" w:before="40"/>
            </w:pPr>
            <w:r>
              <w:rPr>
                <w:sz w:val="17"/>
              </w:rPr>
              <w:t>Stores progress and provides feedback to the pupil and class teacher.</w:t>
            </w:r>
          </w:p>
        </w:tc>
      </w:tr>
      <w:tr>
        <w:tc>
          <w:tcPr>
            <w:tcW w:type="dxa" w:w="1814"/>
            <w:vAlign w:val="center"/>
          </w:tcPr>
          <w:p>
            <w:pPr>
              <w:spacing w:after="40" w:before="40"/>
            </w:pPr>
            <w:r>
              <w:rPr>
                <w:sz w:val="17"/>
              </w:rPr>
              <w:t>Teacher view</w:t>
            </w:r>
          </w:p>
        </w:tc>
        <w:tc>
          <w:tcPr>
            <w:tcW w:type="dxa" w:w="3816"/>
            <w:vAlign w:val="center"/>
          </w:tcPr>
          <w:p>
            <w:pPr>
              <w:spacing w:after="40" w:before="40"/>
            </w:pPr>
            <w:r>
              <w:rPr>
                <w:sz w:val="17"/>
              </w:rPr>
              <w:t>Pupil display name, scores, answers and class summaries</w:t>
            </w:r>
          </w:p>
        </w:tc>
        <w:tc>
          <w:tcPr>
            <w:tcW w:type="dxa" w:w="4162"/>
            <w:vAlign w:val="center"/>
          </w:tcPr>
          <w:p>
            <w:pPr>
              <w:spacing w:after="40" w:before="40"/>
            </w:pPr>
            <w:r>
              <w:rPr>
                <w:sz w:val="17"/>
              </w:rPr>
              <w:t>Helps the teacher review learning and set work.</w:t>
            </w:r>
          </w:p>
        </w:tc>
      </w:tr>
      <w:tr>
        <w:tc>
          <w:tcPr>
            <w:tcW w:type="dxa" w:w="1814"/>
            <w:vAlign w:val="center"/>
          </w:tcPr>
          <w:p>
            <w:pPr>
              <w:spacing w:after="40" w:before="40"/>
            </w:pPr>
            <w:r>
              <w:rPr>
                <w:sz w:val="17"/>
              </w:rPr>
              <w:t>Device session</w:t>
            </w:r>
          </w:p>
        </w:tc>
        <w:tc>
          <w:tcPr>
            <w:tcW w:type="dxa" w:w="3816"/>
            <w:vAlign w:val="center"/>
          </w:tcPr>
          <w:p>
            <w:pPr>
              <w:spacing w:after="40" w:before="40"/>
            </w:pPr>
            <w:r>
              <w:rPr>
                <w:sz w:val="17"/>
              </w:rPr>
              <w:t>Pupil and class identifiers and the individual code in browser storage</w:t>
            </w:r>
          </w:p>
        </w:tc>
        <w:tc>
          <w:tcPr>
            <w:tcW w:type="dxa" w:w="4162"/>
            <w:vAlign w:val="center"/>
          </w:tcPr>
          <w:p>
            <w:pPr>
              <w:spacing w:after="40" w:before="40"/>
            </w:pPr>
            <w:r>
              <w:rPr>
                <w:sz w:val="17"/>
              </w:rPr>
              <w:t>Resumes work on the same device.</w:t>
            </w:r>
          </w:p>
        </w:tc>
      </w:tr>
      <w:tr>
        <w:tc>
          <w:tcPr>
            <w:tcW w:type="dxa" w:w="1814"/>
            <w:vAlign w:val="center"/>
          </w:tcPr>
          <w:p>
            <w:pPr>
              <w:spacing w:after="40" w:before="40"/>
            </w:pPr>
            <w:r>
              <w:rPr>
                <w:sz w:val="17"/>
              </w:rPr>
              <w:t>Service delivery</w:t>
            </w:r>
          </w:p>
        </w:tc>
        <w:tc>
          <w:tcPr>
            <w:tcW w:type="dxa" w:w="3816"/>
            <w:vAlign w:val="center"/>
          </w:tcPr>
          <w:p>
            <w:pPr>
              <w:spacing w:after="40" w:before="40"/>
            </w:pPr>
            <w:r>
              <w:rPr>
                <w:sz w:val="17"/>
              </w:rPr>
              <w:t>IP address and browser request details</w:t>
            </w:r>
          </w:p>
        </w:tc>
        <w:tc>
          <w:tcPr>
            <w:tcW w:type="dxa" w:w="4162"/>
            <w:vAlign w:val="center"/>
          </w:tcPr>
          <w:p>
            <w:pPr>
              <w:spacing w:after="40" w:before="40"/>
            </w:pPr>
            <w:r>
              <w:rPr>
                <w:sz w:val="17"/>
              </w:rPr>
              <w:t>Allows hosting, fonts and database services to deliver the application.</w:t>
            </w:r>
          </w:p>
        </w:tc>
      </w:tr>
    </w:tbl>
    <w:p>
      <w:pPr>
        <w:spacing w:before="140"/>
      </w:pPr>
      <w:r>
        <w:t>A first name linked to a class and answer history is pupil personal data, even without a surname or email address. Individual codes reduce the risk of another pupil opening that record, but the learning record still needs a lawful basis, safeguards and a retention plan.</w:t>
      </w:r>
    </w:p>
    <w:p>
      <w:pPr>
        <w:pStyle w:val="Heading1"/>
      </w:pPr>
      <w:r>
        <w:t>Controls and remaining checks</w:t>
      </w:r>
    </w:p>
    <w:p>
      <w:pPr>
        <w:pStyle w:val="ListBullet"/>
      </w:pPr>
      <w:r>
        <w:rPr>
          <w:b/>
        </w:rPr>
        <w:t xml:space="preserve">Individual access: </w:t>
      </w:r>
      <w:r>
        <w:t>Teacher confirms private individual codes and rejection of name plus class code alone. Keep a dated note of this check for the DPIA.</w:t>
      </w:r>
    </w:p>
    <w:p>
      <w:pPr>
        <w:pStyle w:val="ListBullet"/>
      </w:pPr>
      <w:r>
        <w:rPr>
          <w:b/>
        </w:rPr>
        <w:t xml:space="preserve">Teacher access: </w:t>
      </w:r>
      <w:r>
        <w:t>Source code contains class-scoped database policies. Confirm the relevant changes are deployed and test access with a second teacher account.</w:t>
      </w:r>
    </w:p>
    <w:p>
      <w:pPr>
        <w:pStyle w:val="ListBullet"/>
      </w:pPr>
      <w:r>
        <w:rPr>
          <w:b/>
        </w:rPr>
        <w:t xml:space="preserve">Shared devices: </w:t>
      </w:r>
      <w:r>
        <w:t>The browser can retain a pupil session. Test Switch student or sign-out on school devices and give pupils a simple instruction.</w:t>
      </w:r>
    </w:p>
    <w:p>
      <w:pPr>
        <w:pStyle w:val="ListBullet"/>
      </w:pPr>
      <w:r>
        <w:rPr>
          <w:b/>
        </w:rPr>
        <w:t xml:space="preserve">Analytics: </w:t>
      </w:r>
      <w:r>
        <w:t>The source has been changed to remove Google Analytics and separate product event tracking from pupil application pages. Confirm deployment and inspect live network requests.</w:t>
      </w:r>
    </w:p>
    <w:p>
      <w:pPr>
        <w:pStyle w:val="ListBullet"/>
      </w:pPr>
      <w:r>
        <w:rPr>
          <w:b/>
        </w:rPr>
        <w:t xml:space="preserve">Deletion: </w:t>
      </w:r>
      <w:r>
        <w:t>Deleting a class is designed to remove linked pupil and answer records. Agree the pilot end date, deletion timing, backup retention and a recorded deletion check.</w:t>
      </w:r>
    </w:p>
    <w:p>
      <w:pPr>
        <w:pStyle w:val="ListBullet"/>
      </w:pPr>
      <w:r>
        <w:rPr>
          <w:b/>
        </w:rPr>
        <w:t xml:space="preserve">Providers and transfers: </w:t>
      </w:r>
      <w:r>
        <w:t>Confirm the active Supabase region, relevant contracts, provider locations and technical log retention from the live accounts.</w:t>
      </w:r>
    </w:p>
    <w:p>
      <w:pPr>
        <w:pStyle w:val="Heading1"/>
        <w:pageBreakBefore/>
      </w:pPr>
      <w:r>
        <w:t>Decisions for the school data protection officer</w:t>
      </w:r>
    </w:p>
    <w:p>
      <w:pPr>
        <w:pStyle w:val="ListNumber"/>
      </w:pPr>
      <w:r>
        <w:t>Screen the pilot for a data protection impact assessment. If required, document necessity, children’s risks, mitigations, residual risk, advice and sign-off.</w:t>
      </w:r>
    </w:p>
    <w:p>
      <w:pPr>
        <w:pStyle w:val="ListNumber"/>
      </w:pPr>
      <w:r>
        <w:t>Confirm controller and processor roles and approve written processing terms, including permitted purposes, subprocessors, rights requests, incidents, deletion, audit and transfers.</w:t>
      </w:r>
    </w:p>
    <w:p>
      <w:pPr>
        <w:pStyle w:val="ListNumber"/>
      </w:pPr>
      <w:r>
        <w:t>Choose and record the school’s lawful basis. Update the pupil and parent privacy notice to describe Forge, the learning data, teacher access and retention.</w:t>
      </w:r>
    </w:p>
    <w:p>
      <w:pPr>
        <w:pStyle w:val="ListNumber"/>
      </w:pPr>
      <w:r>
        <w:t>Record the pilot scope: school, class size, subject, start and end dates, devices, code distribution, authorised staff and incident contact.</w:t>
      </w:r>
    </w:p>
    <w:p>
      <w:pPr>
        <w:pStyle w:val="ListNumber"/>
      </w:pPr>
      <w:r>
        <w:t>Obtain supplier evidence from the live service: project region, deployed security controls, relevant provider terms, backup and log retention, and a deletion plan.</w:t>
      </w:r>
    </w:p>
    <w:p>
      <w:pPr>
        <w:spacing w:before="100"/>
      </w:pPr>
      <w:r>
        <w:t>The public Forge privacy page has been revised in the local project, and its proposed school processing terms need school review. Those edits have not yet been published or signed.</w:t>
      </w:r>
    </w:p>
    <w:p>
      <w:pPr>
        <w:pStyle w:val="Heading1"/>
      </w:pPr>
      <w:r>
        <w:t>Evidence reviewed</w:t>
      </w:r>
    </w:p>
    <w:p>
      <w:pPr>
        <w:pStyle w:val="ListBullet"/>
      </w:pPr>
      <w:r>
        <w:rPr>
          <w:b/>
        </w:rPr>
        <w:t xml:space="preserve">Pupil code access: </w:t>
      </w:r>
      <w:r>
        <w:t>Student code and older join route database changes, including the rule that blocks the older route for coded classes.</w:t>
      </w:r>
    </w:p>
    <w:p>
      <w:pPr>
        <w:pStyle w:val="ListBullet"/>
      </w:pPr>
      <w:r>
        <w:rPr>
          <w:b/>
        </w:rPr>
        <w:t xml:space="preserve">Learning records: </w:t>
      </w:r>
      <w:r>
        <w:t>Response-writing code and database fields for answers, accuracy, misconception tags and assignments.</w:t>
      </w:r>
    </w:p>
    <w:p>
      <w:pPr>
        <w:pStyle w:val="ListBullet"/>
      </w:pPr>
      <w:r>
        <w:rPr>
          <w:b/>
        </w:rPr>
        <w:t xml:space="preserve">Teacher access and deletion: </w:t>
      </w:r>
      <w:r>
        <w:t>Teacher class-scoping policies and the class deletion cascade.</w:t>
      </w:r>
    </w:p>
    <w:p>
      <w:pPr>
        <w:pStyle w:val="ListBullet"/>
      </w:pPr>
      <w:r>
        <w:rPr>
          <w:b/>
        </w:rPr>
        <w:t xml:space="preserve">Browser session: </w:t>
      </w:r>
      <w:r>
        <w:t>Pupil session code that stores class, pupil and individual code details on the device.</w:t>
      </w:r>
    </w:p>
    <w:p>
      <w:pPr>
        <w:spacing w:before="80"/>
      </w:pPr>
      <w:r>
        <w:t>These are source-code findings. The live database rules, hosting region, contracts and retention settings still need evidence from the active accounts.</w:t>
      </w:r>
    </w:p>
    <w:p>
      <w:pPr>
        <w:pStyle w:val="Heading1"/>
      </w:pPr>
      <w:r>
        <w:t>Official guidance</w:t>
      </w:r>
    </w:p>
    <w:p>
      <w:pPr>
        <w:pStyle w:val="ListBullet"/>
      </w:pPr>
      <w:r>
        <w:t>Department for Education, Data protection in schools: Procuring educational technology.</w:t>
      </w:r>
    </w:p>
    <w:p>
      <w:pPr>
        <w:pStyle w:val="ListBullet"/>
      </w:pPr>
      <w:r>
        <w:t>Information Commissioner’s Office, When do we need to do a DPIA?</w:t>
      </w:r>
    </w:p>
    <w:p>
      <w:pPr>
        <w:pStyle w:val="ListBullet"/>
      </w:pPr>
      <w:r>
        <w:t>Information Commissioner’s Office, The Children’s code and education technologies.</w:t>
      </w:r>
    </w:p>
    <w:p>
      <w:pPr>
        <w:pStyle w:val="ListBullet"/>
      </w:pPr>
      <w:r>
        <w:t>Information Commissioner’s Office, What needs to be included in the contract?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882"/>
        <w:sz w:val="16"/>
      </w:rPr>
      <w:t>Forge Year 10 pilot  |  Data protection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E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142A39"/>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42A3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Year 10 pilot data protection brief</dc:title>
  <dc:subject>Evidence for school data protection officer review</dc:subject>
  <dc:creator>Forge Education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