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pPr>
      <w:r>
        <w:t xml:space="preserve"/>
      </w:r>
    </w:p>
    <w:p>
      <w:pPr>
        <w:spacing w:before="100" w:after="80"/>
        <w:jc w:val="center"/>
      </w:pPr>
      <w:r>
        <w:rPr>
          <w:rFonts w:ascii="Arial" w:cs="Arial" w:eastAsia="Arial" w:hAnsi="Arial"/>
          <w:b/>
          <w:bCs/>
          <w:caps/>
          <w:color w:val="595959"/>
          <w:sz w:val="24"/>
          <w:szCs w:val="24"/>
        </w:rPr>
        <w:t xml:space="preserve">PROCÉDURE TECHNIQUE</w:t>
      </w:r>
    </w:p>
    <w:p>
      <w:pPr>
        <w:pBdr>
          <w:bottom w:val="single" w:color="2E75B6" w:sz="12" w:space="1"/>
        </w:pBdr>
        <w:spacing w:before="0" w:after="200"/>
        <w:jc w:val="center"/>
      </w:pPr>
      <w:r>
        <w:rPr>
          <w:rFonts w:ascii="Arial" w:cs="Arial" w:eastAsia="Arial" w:hAnsi="Arial"/>
          <w:b/>
          <w:bCs/>
          <w:color w:val="1F3864"/>
          <w:sz w:val="52"/>
          <w:szCs w:val="52"/>
        </w:rPr>
        <w:t xml:space="preserve">Masterisation en Entreprise</w:t>
      </w:r>
    </w:p>
    <w:p>
      <w:pPr>
        <w:spacing w:before="120" w:after="120"/>
      </w:pPr>
      <w:r>
        <w:t xml:space="preserve"/>
      </w:r>
    </w:p>
    <w:p>
      <w:pPr>
        <w:spacing w:before="120" w:after="120"/>
        <w:jc w:val="center"/>
      </w:pPr>
      <w:r>
        <w:drawing>
          <wp:inline distT="0" distB="0" distL="0" distR="0">
            <wp:extent cx="5334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571750"/>
                    </a:xfrm>
                    <a:prstGeom prst="rect">
                      <a:avLst/>
                    </a:prstGeom>
                  </pic:spPr>
                </pic:pic>
              </a:graphicData>
            </a:graphic>
          </wp:inline>
        </w:drawing>
      </w:r>
    </w:p>
    <w:p>
      <w:pPr>
        <w:spacing w:before="120" w:after="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1F3864" w:val="clear"/>
            <w:tcMar>
              <w:top w:type="dxa" w:w="80"/>
              <w:left w:type="dxa" w:w="160"/>
              <w:bottom w:type="dxa" w:w="80"/>
              <w:right w:type="dxa" w:w="120"/>
            </w:tcMar>
          </w:tcPr>
          <w:p>
            <w:r>
              <w:rPr>
                <w:rFonts w:ascii="Arial" w:cs="Arial" w:eastAsia="Arial" w:hAnsi="Arial"/>
                <w:b/>
                <w:bCs/>
                <w:color w:val="FFFFFF"/>
                <w:sz w:val="20"/>
                <w:szCs w:val="20"/>
              </w:rPr>
              <w:t xml:space="preserve">Référence</w:t>
            </w:r>
          </w:p>
        </w:tc>
        <w:tc>
          <w:tcPr>
            <w:tcW w:type="dxa" w:w="6500"/>
            <w:shd w:fill="F2F2F2" w:val="clear"/>
            <w:tcMar>
              <w:top w:type="dxa" w:w="80"/>
              <w:left w:type="dxa" w:w="160"/>
              <w:bottom w:type="dxa" w:w="80"/>
              <w:right w:type="dxa" w:w="120"/>
            </w:tcMar>
          </w:tcPr>
          <w:p>
            <w:r>
              <w:rPr>
                <w:rFonts w:ascii="Arial" w:cs="Arial" w:eastAsia="Arial" w:hAnsi="Arial"/>
                <w:color w:val="595959"/>
                <w:sz w:val="20"/>
                <w:szCs w:val="20"/>
              </w:rPr>
              <w:t xml:space="preserve">PROC-DSI-MASTER-001</w:t>
            </w:r>
          </w:p>
        </w:tc>
      </w:tr>
      <w:tr>
        <w:tc>
          <w:tcPr>
            <w:tcW w:type="dxa" w:w="2500"/>
            <w:shd w:fill="1F3864" w:val="clear"/>
            <w:tcMar>
              <w:top w:type="dxa" w:w="80"/>
              <w:left w:type="dxa" w:w="160"/>
              <w:bottom w:type="dxa" w:w="80"/>
              <w:right w:type="dxa" w:w="120"/>
            </w:tcMar>
          </w:tcPr>
          <w:p>
            <w:r>
              <w:rPr>
                <w:rFonts w:ascii="Arial" w:cs="Arial" w:eastAsia="Arial" w:hAnsi="Arial"/>
                <w:b/>
                <w:bCs/>
                <w:color w:val="FFFFFF"/>
                <w:sz w:val="20"/>
                <w:szCs w:val="20"/>
              </w:rPr>
              <w:t xml:space="preserve">Domaine</w:t>
            </w:r>
          </w:p>
        </w:tc>
        <w:tc>
          <w:tcPr>
            <w:tcW w:type="dxa" w:w="6500"/>
            <w:shd w:fill="FFFFFF" w:val="clear"/>
            <w:tcMar>
              <w:top w:type="dxa" w:w="80"/>
              <w:left w:type="dxa" w:w="160"/>
              <w:bottom w:type="dxa" w:w="80"/>
              <w:right w:type="dxa" w:w="120"/>
            </w:tcMar>
          </w:tcPr>
          <w:p>
            <w:r>
              <w:rPr>
                <w:rFonts w:ascii="Arial" w:cs="Arial" w:eastAsia="Arial" w:hAnsi="Arial"/>
                <w:sz w:val="20"/>
                <w:szCs w:val="20"/>
              </w:rPr>
              <w:t xml:space="preserve">Déploiement et gestion des postes de travail</w:t>
            </w:r>
          </w:p>
        </w:tc>
      </w:tr>
      <w:tr>
        <w:tc>
          <w:tcPr>
            <w:tcW w:type="dxa" w:w="2500"/>
            <w:shd w:fill="1F3864" w:val="clear"/>
            <w:tcMar>
              <w:top w:type="dxa" w:w="80"/>
              <w:left w:type="dxa" w:w="160"/>
              <w:bottom w:type="dxa" w:w="80"/>
              <w:right w:type="dxa" w:w="120"/>
            </w:tcMar>
          </w:tcPr>
          <w:p>
            <w:r>
              <w:rPr>
                <w:rFonts w:ascii="Arial" w:cs="Arial" w:eastAsia="Arial" w:hAnsi="Arial"/>
                <w:b/>
                <w:bCs/>
                <w:color w:val="FFFFFF"/>
                <w:sz w:val="20"/>
                <w:szCs w:val="20"/>
              </w:rPr>
              <w:t xml:space="preserve">Public cible</w:t>
            </w:r>
          </w:p>
        </w:tc>
        <w:tc>
          <w:tcPr>
            <w:tcW w:type="dxa" w:w="6500"/>
            <w:shd w:fill="F2F2F2" w:val="clear"/>
            <w:tcMar>
              <w:top w:type="dxa" w:w="80"/>
              <w:left w:type="dxa" w:w="160"/>
              <w:bottom w:type="dxa" w:w="80"/>
              <w:right w:type="dxa" w:w="120"/>
            </w:tcMar>
          </w:tcPr>
          <w:p>
            <w:r>
              <w:rPr>
                <w:rFonts w:ascii="Arial" w:cs="Arial" w:eastAsia="Arial" w:hAnsi="Arial"/>
                <w:sz w:val="20"/>
                <w:szCs w:val="20"/>
              </w:rPr>
              <w:t xml:space="preserve">Techniciens informatiques / Équipe DSI</w:t>
            </w:r>
          </w:p>
        </w:tc>
      </w:tr>
      <w:tr>
        <w:tc>
          <w:tcPr>
            <w:tcW w:type="dxa" w:w="2500"/>
            <w:shd w:fill="1F3864" w:val="clear"/>
            <w:tcMar>
              <w:top w:type="dxa" w:w="80"/>
              <w:left w:type="dxa" w:w="160"/>
              <w:bottom w:type="dxa" w:w="80"/>
              <w:right w:type="dxa" w:w="120"/>
            </w:tcMar>
          </w:tcPr>
          <w:p>
            <w:r>
              <w:rPr>
                <w:rFonts w:ascii="Arial" w:cs="Arial" w:eastAsia="Arial" w:hAnsi="Arial"/>
                <w:b/>
                <w:bCs/>
                <w:color w:val="FFFFFF"/>
                <w:sz w:val="20"/>
                <w:szCs w:val="20"/>
              </w:rPr>
              <w:t xml:space="preserve">Niveau requis</w:t>
            </w:r>
          </w:p>
        </w:tc>
        <w:tc>
          <w:tcPr>
            <w:tcW w:type="dxa" w:w="6500"/>
            <w:shd w:fill="FFFFFF" w:val="clear"/>
            <w:tcMar>
              <w:top w:type="dxa" w:w="80"/>
              <w:left w:type="dxa" w:w="160"/>
              <w:bottom w:type="dxa" w:w="80"/>
              <w:right w:type="dxa" w:w="120"/>
            </w:tcMar>
          </w:tcPr>
          <w:p>
            <w:r>
              <w:rPr>
                <w:rFonts w:ascii="Arial" w:cs="Arial" w:eastAsia="Arial" w:hAnsi="Arial"/>
                <w:sz w:val="20"/>
                <w:szCs w:val="20"/>
              </w:rPr>
              <w:t xml:space="preserve">Technicien niveau 1 / BTS SIO</w:t>
            </w:r>
          </w:p>
        </w:tc>
      </w:tr>
    </w:tbl>
    <w:p>
      <w:pPr>
        <w:spacing w:before="300" w:after="200"/>
      </w:pPr>
      <w:r>
        <w:t xml:space="preserve"/>
      </w:r>
    </w:p>
    <w:p>
      <w:r>
        <w:br w:type="page"/>
      </w:r>
    </w:p>
    <w:p>
      <w:pPr>
        <w:pStyle w:val="Heading1"/>
      </w:pPr>
      <w:r>
        <w:t xml:space="preserve">1. Introduction</w:t>
      </w:r>
    </w:p>
    <w:p>
      <w:pPr>
        <w:pBdr>
          <w:bottom w:val="single" w:color="2E75B6" w:sz="6" w:space="1"/>
        </w:pBdr>
        <w:spacing w:before="120" w:after="120"/>
      </w:pPr>
    </w:p>
    <w:p>
      <w:pPr>
        <w:spacing w:before="60" w:after="60"/>
      </w:pPr>
      <w:r>
        <w:rPr>
          <w:rFonts w:ascii="Arial" w:cs="Arial" w:eastAsia="Arial" w:hAnsi="Arial"/>
          <w:b w:val="false"/>
          <w:bCs w:val="false"/>
          <w:i w:val="false"/>
          <w:iCs w:val="false"/>
          <w:color w:val="1A1A1A"/>
          <w:sz w:val="22"/>
          <w:szCs w:val="22"/>
        </w:rPr>
        <w:t xml:space="preserve">La masterisation est le processus par lequel un poste de travail est déployé avec une image système (master) préconfigurée et standardisée. Cette procédure garantit que chaque nouveau poste est opérationnel, conforme aux exigences du parc informatique, et immédiatement rattaché à l'infrastructure de l'entreprise.</w:t>
      </w:r>
    </w:p>
    <w:p>
      <w:pPr>
        <w:spacing w:before="60" w:after="60"/>
      </w:pPr>
      <w:r>
        <w:t xml:space="preserve"/>
      </w:r>
    </w:p>
    <w:p>
      <w:pPr>
        <w:spacing w:before="60" w:after="60"/>
      </w:pPr>
      <w:r>
        <w:rPr>
          <w:rFonts w:ascii="Arial" w:cs="Arial" w:eastAsia="Arial" w:hAnsi="Arial"/>
          <w:b w:val="false"/>
          <w:bCs w:val="false"/>
          <w:i w:val="false"/>
          <w:iCs w:val="false"/>
          <w:color w:val="1A1A1A"/>
          <w:sz w:val="22"/>
          <w:szCs w:val="22"/>
        </w:rPr>
        <w:t xml:space="preserve">Elle se déroule en plusieurs phases successives : enregistrement de l'équipement, rattachement à l'organisation, déploiement de l'image système, puis configuration finale du poste.</w:t>
      </w:r>
    </w:p>
    <w:p>
      <w:pPr>
        <w:spacing w:before="80"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c>
          <w:tcPr>
            <w:tcW w:type="dxa" w:w="700"/>
            <w:shd w:fill="2E75B6" w:val="clear"/>
            <w:tcMar>
              <w:top w:type="dxa" w:w="120"/>
              <w:left w:type="dxa" w:w="120"/>
              <w:bottom w:type="dxa" w:w="120"/>
              <w:right w:type="dxa" w:w="120"/>
            </w:tcMar>
            <w:vAlign w:val="center"/>
          </w:tcPr>
          <w:p>
            <w:pPr>
              <w:jc w:val="center"/>
            </w:pPr>
            <w:r>
              <w:rPr>
                <w:rFonts w:ascii="Arial" w:cs="Arial" w:eastAsia="Arial" w:hAnsi="Arial"/>
                <w:sz w:val="26"/>
                <w:szCs w:val="26"/>
              </w:rPr>
              <w:t xml:space="preserve">ℹ️</w:t>
            </w:r>
          </w:p>
        </w:tc>
        <w:tc>
          <w:tcPr>
            <w:tcW w:type="dxa" w:w="8300"/>
            <w:shd w:fill="D6E4F0" w:val="clear"/>
            <w:tcMar>
              <w:top w:type="dxa" w:w="120"/>
              <w:left w:type="dxa" w:w="180"/>
              <w:bottom w:type="dxa" w:w="120"/>
              <w:right w:type="dxa" w:w="120"/>
            </w:tcMar>
          </w:tcPr>
          <w:p>
            <w:r>
              <w:rPr>
                <w:rFonts w:ascii="Arial" w:cs="Arial" w:eastAsia="Arial" w:hAnsi="Arial"/>
                <w:color w:val="1F3864"/>
                <w:sz w:val="22"/>
                <w:szCs w:val="22"/>
              </w:rPr>
              <w:t xml:space="preserve">Cette procédure s'applique à tout nouveau poste de travail intégré au parc informatique de l'entreprise, qu'il s'agisse d'un remplacement ou d'une nouvelle dotation.</w:t>
            </w:r>
          </w:p>
        </w:tc>
      </w:tr>
    </w:tbl>
    <w:p>
      <w:pPr>
        <w:spacing w:before="160" w:after="160"/>
      </w:pPr>
      <w:r>
        <w:t xml:space="preserve"/>
      </w:r>
    </w:p>
    <w:p>
      <w:pPr>
        <w:pStyle w:val="Heading1"/>
      </w:pPr>
      <w:r>
        <w:t xml:space="preserve">2. Prérequis</w:t>
      </w:r>
    </w:p>
    <w:p>
      <w:pPr>
        <w:pBdr>
          <w:bottom w:val="single" w:color="2E75B6" w:sz="6" w:space="1"/>
        </w:pBdr>
        <w:spacing w:before="120" w:after="120"/>
      </w:pPr>
    </w:p>
    <w:p>
      <w:pPr>
        <w:spacing w:before="60" w:after="60"/>
      </w:pPr>
      <w:r>
        <w:rPr>
          <w:rFonts w:ascii="Arial" w:cs="Arial" w:eastAsia="Arial" w:hAnsi="Arial"/>
          <w:b w:val="false"/>
          <w:bCs w:val="false"/>
          <w:i w:val="false"/>
          <w:iCs w:val="false"/>
          <w:color w:val="1A1A1A"/>
          <w:sz w:val="22"/>
          <w:szCs w:val="22"/>
        </w:rPr>
        <w:t xml:space="preserve">Avant de démarrer la procédure, s'assurer que les éléments suivants sont disponibles :</w:t>
      </w:r>
    </w:p>
    <w:p>
      <w:pPr>
        <w:spacing w:before="40" w:after="20"/>
      </w:pPr>
      <w:r>
        <w:t xml:space="preserve"/>
      </w:r>
    </w:p>
    <w:p>
      <w:pPr>
        <w:pStyle w:val="ListParagraph"/>
        <w:numPr>
          <w:ilvl w:val="0"/>
          <w:numId w:val="2"/>
        </w:numPr>
        <w:spacing w:before="40" w:after="40"/>
      </w:pPr>
      <w:r>
        <w:rPr>
          <w:rFonts w:ascii="Arial" w:cs="Arial" w:eastAsia="Arial" w:hAnsi="Arial"/>
          <w:b w:val="false"/>
          <w:bCs w:val="false"/>
          <w:color w:val="595959"/>
          <w:sz w:val="22"/>
          <w:szCs w:val="22"/>
        </w:rPr>
        <w:t xml:space="preserve">Le poste de travail est physiquement disponible et en état de fonctionnement.</w:t>
      </w:r>
    </w:p>
    <w:p>
      <w:pPr>
        <w:pStyle w:val="ListParagraph"/>
        <w:numPr>
          <w:ilvl w:val="0"/>
          <w:numId w:val="2"/>
        </w:numPr>
        <w:spacing w:before="40" w:after="40"/>
      </w:pPr>
      <w:r>
        <w:rPr>
          <w:rFonts w:ascii="Arial" w:cs="Arial" w:eastAsia="Arial" w:hAnsi="Arial"/>
          <w:b w:val="false"/>
          <w:bCs w:val="false"/>
          <w:color w:val="595959"/>
          <w:sz w:val="22"/>
          <w:szCs w:val="22"/>
        </w:rPr>
        <w:t xml:space="preserve">L'accès aux logiciels de gestion du parc (répertoire et outil interne) est opérationnel.</w:t>
      </w:r>
    </w:p>
    <w:p>
      <w:pPr>
        <w:pStyle w:val="ListParagraph"/>
        <w:numPr>
          <w:ilvl w:val="0"/>
          <w:numId w:val="2"/>
        </w:numPr>
        <w:spacing w:before="40" w:after="40"/>
      </w:pPr>
      <w:r>
        <w:rPr>
          <w:rFonts w:ascii="Arial" w:cs="Arial" w:eastAsia="Arial" w:hAnsi="Arial"/>
          <w:b w:val="false"/>
          <w:bCs w:val="false"/>
          <w:color w:val="595959"/>
          <w:sz w:val="22"/>
          <w:szCs w:val="22"/>
        </w:rPr>
        <w:t xml:space="preserve">Le mot de passe spécifique requis par le serveur de masterisation est connu du technicien.</w:t>
      </w:r>
    </w:p>
    <w:p>
      <w:pPr>
        <w:pStyle w:val="ListParagraph"/>
        <w:numPr>
          <w:ilvl w:val="0"/>
          <w:numId w:val="2"/>
        </w:numPr>
        <w:spacing w:before="40" w:after="40"/>
      </w:pPr>
      <w:r>
        <w:rPr>
          <w:rFonts w:ascii="Arial" w:cs="Arial" w:eastAsia="Arial" w:hAnsi="Arial"/>
          <w:b w:val="false"/>
          <w:bCs w:val="false"/>
          <w:color w:val="595959"/>
          <w:sz w:val="22"/>
          <w:szCs w:val="22"/>
        </w:rPr>
        <w:t xml:space="preserve">Une connexion réseau filaire (câble Ethernet) est disponible à proximité du poste.</w:t>
      </w:r>
    </w:p>
    <w:p>
      <w:pPr>
        <w:pStyle w:val="ListParagraph"/>
        <w:numPr>
          <w:ilvl w:val="0"/>
          <w:numId w:val="2"/>
        </w:numPr>
        <w:spacing w:before="40" w:after="40"/>
      </w:pPr>
      <w:r>
        <w:rPr>
          <w:rFonts w:ascii="Arial" w:cs="Arial" w:eastAsia="Arial" w:hAnsi="Arial"/>
          <w:b w:val="false"/>
          <w:bCs w:val="false"/>
          <w:color w:val="595959"/>
          <w:sz w:val="22"/>
          <w:szCs w:val="22"/>
        </w:rPr>
        <w:t xml:space="preserve">Le serveur de masterisation est actif et joignable sur le réseau.</w:t>
      </w:r>
    </w:p>
    <w:p>
      <w:pPr>
        <w:spacing w:before="160" w:after="160"/>
      </w:pPr>
      <w:r>
        <w:t xml:space="preserve"/>
      </w:r>
    </w:p>
    <w:p>
      <w:pPr>
        <w:pStyle w:val="Heading1"/>
      </w:pPr>
      <w:r>
        <w:t xml:space="preserve">3. Procédure de masterisation</w:t>
      </w:r>
    </w:p>
    <w:p>
      <w:pPr>
        <w:pBdr>
          <w:bottom w:val="single" w:color="2E75B6" w:sz="6" w:space="1"/>
        </w:pBdr>
        <w:spacing w:before="120" w:after="120"/>
      </w:pPr>
    </w:p>
    <w:p>
      <w:pPr>
        <w:spacing w:before="60" w:after="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Étape 1</w:t>
            </w:r>
          </w:p>
        </w:tc>
        <w:tc>
          <w:tcPr>
            <w:tcW w:type="dxa" w:w="8100"/>
            <w:shd w:fill="2E75B6" w:val="clear"/>
            <w:tcMar>
              <w:top w:type="dxa" w:w="100"/>
              <w:left w:type="dxa" w:w="200"/>
              <w:bottom w:type="dxa" w:w="100"/>
              <w:right w:type="dxa" w:w="140"/>
            </w:tcMar>
            <w:vAlign w:val="center"/>
          </w:tcPr>
          <w:p>
            <w:r>
              <w:rPr>
                <w:rFonts w:ascii="Arial" w:cs="Arial" w:eastAsia="Arial" w:hAnsi="Arial"/>
                <w:b/>
                <w:bCs/>
                <w:color w:val="FFFFFF"/>
                <w:sz w:val="22"/>
                <w:szCs w:val="22"/>
              </w:rPr>
              <w:t xml:space="preserve">Enregistrement du poste dans le logiciel de répertoire</w:t>
            </w:r>
          </w:p>
        </w:tc>
      </w:tr>
    </w:tbl>
    <w:p>
      <w:pPr>
        <w:spacing w:before="80" w:after="60"/>
      </w:pPr>
      <w:r>
        <w:t xml:space="preserve"/>
      </w:r>
    </w:p>
    <w:p>
      <w:pPr>
        <w:spacing w:before="60" w:after="60"/>
      </w:pPr>
      <w:r>
        <w:rPr>
          <w:rFonts w:ascii="Arial" w:cs="Arial" w:eastAsia="Arial" w:hAnsi="Arial"/>
          <w:b w:val="false"/>
          <w:bCs w:val="false"/>
          <w:i w:val="false"/>
          <w:iCs w:val="false"/>
          <w:color w:val="1A1A1A"/>
          <w:sz w:val="22"/>
          <w:szCs w:val="22"/>
        </w:rPr>
        <w:t xml:space="preserve">Dès réception d'un nouveau poste de travail, celui-ci doit être créé dans le logiciel de répertoire du parc informatique. Cette étape permet de l'identifier de manière unique et de le rendre localisable lors de recherches ultérieures.</w:t>
      </w:r>
    </w:p>
    <w:p>
      <w:pPr>
        <w:spacing w:before="60" w:after="60"/>
      </w:pPr>
      <w:r>
        <w:t xml:space="preserve"/>
      </w:r>
    </w:p>
    <w:p>
      <w:pPr>
        <w:spacing w:before="60" w:after="60"/>
      </w:pPr>
      <w:r>
        <w:rPr>
          <w:rFonts w:ascii="Arial" w:cs="Arial" w:eastAsia="Arial" w:hAnsi="Arial"/>
          <w:b/>
          <w:bCs/>
          <w:i w:val="false"/>
          <w:iCs w:val="false"/>
          <w:color w:val="1A1A1A"/>
          <w:sz w:val="22"/>
          <w:szCs w:val="22"/>
        </w:rPr>
        <w:t xml:space="preserve">Actions à effectuer :</w:t>
      </w:r>
    </w:p>
    <w:p>
      <w:pPr>
        <w:pStyle w:val="ListParagraph"/>
        <w:numPr>
          <w:ilvl w:val="0"/>
          <w:numId w:val="2"/>
        </w:numPr>
        <w:spacing w:before="40" w:after="40"/>
      </w:pPr>
      <w:r>
        <w:rPr>
          <w:rFonts w:ascii="Arial" w:cs="Arial" w:eastAsia="Arial" w:hAnsi="Arial"/>
          <w:b w:val="false"/>
          <w:bCs w:val="false"/>
          <w:color w:val="595959"/>
          <w:sz w:val="22"/>
          <w:szCs w:val="22"/>
        </w:rPr>
        <w:t xml:space="preserve">Ouvrir le logiciel de répertoire (annuaire du parc).</w:t>
      </w:r>
    </w:p>
    <w:p>
      <w:pPr>
        <w:pStyle w:val="ListParagraph"/>
        <w:numPr>
          <w:ilvl w:val="0"/>
          <w:numId w:val="2"/>
        </w:numPr>
        <w:spacing w:before="40" w:after="40"/>
      </w:pPr>
      <w:r>
        <w:rPr>
          <w:rFonts w:ascii="Arial" w:cs="Arial" w:eastAsia="Arial" w:hAnsi="Arial"/>
          <w:b w:val="false"/>
          <w:bCs w:val="false"/>
          <w:color w:val="595959"/>
          <w:sz w:val="22"/>
          <w:szCs w:val="22"/>
        </w:rPr>
        <w:t xml:space="preserve">Créer une nouvelle fiche pour le poste en renseignant les informations nécessaires (numéro de série, modèle, marque, état).</w:t>
      </w:r>
    </w:p>
    <w:p>
      <w:pPr>
        <w:pStyle w:val="ListParagraph"/>
        <w:numPr>
          <w:ilvl w:val="0"/>
          <w:numId w:val="2"/>
        </w:numPr>
        <w:spacing w:before="40" w:after="40"/>
      </w:pPr>
      <w:r>
        <w:rPr>
          <w:rFonts w:ascii="Arial" w:cs="Arial" w:eastAsia="Arial" w:hAnsi="Arial"/>
          <w:b w:val="false"/>
          <w:bCs w:val="false"/>
          <w:color w:val="595959"/>
          <w:sz w:val="22"/>
          <w:szCs w:val="22"/>
        </w:rPr>
        <w:t xml:space="preserve">Valider l'enregistrement pour que le poste soit officiellement intégré au parc.</w:t>
      </w:r>
    </w:p>
    <w:p>
      <w:pPr>
        <w:spacing w:before="80" w:after="60"/>
      </w:pPr>
      <w:r>
        <w:t xml:space="preserve"/>
      </w:r>
    </w:p>
    <w:p>
      <w:pPr>
        <w:spacing w:before="120" w:after="120"/>
        <w:jc w:val="center"/>
      </w:pPr>
      <w:r>
        <w:drawing>
          <wp:inline distT="0" distB="0" distL="0" distR="0">
            <wp:extent cx="48577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57750" cy="3000375"/>
                    </a:xfrm>
                    <a:prstGeom prst="rect">
                      <a:avLst/>
                    </a:prstGeom>
                  </pic:spPr>
                </pic:pic>
              </a:graphicData>
            </a:graphic>
          </wp:inline>
        </w:drawing>
      </w:r>
    </w:p>
    <w:p>
      <w:pPr>
        <w:spacing w:before="80"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Étape 2</w:t>
            </w:r>
          </w:p>
        </w:tc>
        <w:tc>
          <w:tcPr>
            <w:tcW w:type="dxa" w:w="8100"/>
            <w:shd w:fill="2E75B6" w:val="clear"/>
            <w:tcMar>
              <w:top w:type="dxa" w:w="100"/>
              <w:left w:type="dxa" w:w="200"/>
              <w:bottom w:type="dxa" w:w="100"/>
              <w:right w:type="dxa" w:w="140"/>
            </w:tcMar>
            <w:vAlign w:val="center"/>
          </w:tcPr>
          <w:p>
            <w:r>
              <w:rPr>
                <w:rFonts w:ascii="Arial" w:cs="Arial" w:eastAsia="Arial" w:hAnsi="Arial"/>
                <w:b/>
                <w:bCs/>
                <w:color w:val="FFFFFF"/>
                <w:sz w:val="22"/>
                <w:szCs w:val="22"/>
              </w:rPr>
              <w:t xml:space="preserve">Rattachement du poste au service de l'employé</w:t>
            </w:r>
          </w:p>
        </w:tc>
      </w:tr>
    </w:tbl>
    <w:p>
      <w:pPr>
        <w:spacing w:before="80" w:after="60"/>
      </w:pPr>
      <w:r>
        <w:t xml:space="preserve"/>
      </w:r>
    </w:p>
    <w:p>
      <w:pPr>
        <w:spacing w:before="60" w:after="60"/>
      </w:pPr>
      <w:r>
        <w:rPr>
          <w:rFonts w:ascii="Arial" w:cs="Arial" w:eastAsia="Arial" w:hAnsi="Arial"/>
          <w:b w:val="false"/>
          <w:bCs w:val="false"/>
          <w:i w:val="false"/>
          <w:iCs w:val="false"/>
          <w:color w:val="1A1A1A"/>
          <w:sz w:val="22"/>
          <w:szCs w:val="22"/>
        </w:rPr>
        <w:t xml:space="preserve">Une fois le poste enregistré dans le répertoire, il doit être associé au service de l'employé destinataire via l'outil interne de gestion. Cette liaison permet de lier le matériel à son affectation organisationnelle.</w:t>
      </w:r>
    </w:p>
    <w:p>
      <w:pPr>
        <w:spacing w:before="60" w:after="60"/>
      </w:pPr>
      <w:r>
        <w:t xml:space="preserve"/>
      </w:r>
    </w:p>
    <w:p>
      <w:pPr>
        <w:spacing w:before="60" w:after="60"/>
      </w:pPr>
      <w:r>
        <w:rPr>
          <w:rFonts w:ascii="Arial" w:cs="Arial" w:eastAsia="Arial" w:hAnsi="Arial"/>
          <w:b/>
          <w:bCs/>
          <w:i w:val="false"/>
          <w:iCs w:val="false"/>
          <w:color w:val="1A1A1A"/>
          <w:sz w:val="22"/>
          <w:szCs w:val="22"/>
        </w:rPr>
        <w:t xml:space="preserve">Actions à effectuer :</w:t>
      </w:r>
    </w:p>
    <w:p>
      <w:pPr>
        <w:pStyle w:val="ListParagraph"/>
        <w:numPr>
          <w:ilvl w:val="0"/>
          <w:numId w:val="2"/>
        </w:numPr>
        <w:spacing w:before="40" w:after="40"/>
      </w:pPr>
      <w:r>
        <w:rPr>
          <w:rFonts w:ascii="Arial" w:cs="Arial" w:eastAsia="Arial" w:hAnsi="Arial"/>
          <w:b w:val="false"/>
          <w:bCs w:val="false"/>
          <w:color w:val="595959"/>
          <w:sz w:val="22"/>
          <w:szCs w:val="22"/>
        </w:rPr>
        <w:t xml:space="preserve">Accéder à l'outil interne de gestion des affectations.</w:t>
      </w:r>
    </w:p>
    <w:p>
      <w:pPr>
        <w:pStyle w:val="ListParagraph"/>
        <w:numPr>
          <w:ilvl w:val="0"/>
          <w:numId w:val="2"/>
        </w:numPr>
        <w:spacing w:before="40" w:after="40"/>
      </w:pPr>
      <w:r>
        <w:rPr>
          <w:rFonts w:ascii="Arial" w:cs="Arial" w:eastAsia="Arial" w:hAnsi="Arial"/>
          <w:b w:val="false"/>
          <w:bCs w:val="false"/>
          <w:color w:val="595959"/>
          <w:sz w:val="22"/>
          <w:szCs w:val="22"/>
        </w:rPr>
        <w:t xml:space="preserve">Rechercher le poste précédemment créé et l'associer au service concerné.</w:t>
      </w:r>
    </w:p>
    <w:p>
      <w:pPr>
        <w:pStyle w:val="ListParagraph"/>
        <w:numPr>
          <w:ilvl w:val="0"/>
          <w:numId w:val="2"/>
        </w:numPr>
        <w:spacing w:before="40" w:after="40"/>
      </w:pPr>
      <w:r>
        <w:rPr>
          <w:rFonts w:ascii="Arial" w:cs="Arial" w:eastAsia="Arial" w:hAnsi="Arial"/>
          <w:b w:val="false"/>
          <w:bCs w:val="false"/>
          <w:color w:val="595959"/>
          <w:sz w:val="22"/>
          <w:szCs w:val="22"/>
        </w:rPr>
        <w:t xml:space="preserve">Vérifier que l'affectation est correctement enregistrée dans le système.</w:t>
      </w:r>
    </w:p>
    <w:p>
      <w:pPr>
        <w:spacing w:before="80" w:after="60"/>
      </w:pPr>
      <w:r>
        <w:t xml:space="preserve"/>
      </w:r>
    </w:p>
    <w:p>
      <w:pPr>
        <w:spacing w:before="120" w:after="120"/>
        <w:jc w:val="center"/>
      </w:pPr>
      <w:r>
        <w:drawing>
          <wp:inline distT="0" distB="0" distL="0" distR="0">
            <wp:extent cx="4572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09875"/>
                    </a:xfrm>
                    <a:prstGeom prst="rect">
                      <a:avLst/>
                    </a:prstGeom>
                  </pic:spPr>
                </pic:pic>
              </a:graphicData>
            </a:graphic>
          </wp:inline>
        </w:drawing>
      </w:r>
    </w:p>
    <w:p>
      <w:pPr>
        <w:spacing w:before="40" w:after="40"/>
      </w:pPr>
      <w:r>
        <w:t xml:space="preserve"/>
      </w:r>
    </w:p>
    <w:p>
      <w:pPr>
        <w:spacing w:before="120" w:after="120"/>
        <w:jc w:val="center"/>
      </w:pPr>
      <w:r>
        <w:drawing>
          <wp:inline distT="0" distB="0" distL="0" distR="0">
            <wp:extent cx="44291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29125" cy="2762250"/>
                    </a:xfrm>
                    <a:prstGeom prst="rect">
                      <a:avLst/>
                    </a:prstGeom>
                  </pic:spPr>
                </pic:pic>
              </a:graphicData>
            </a:graphic>
          </wp:inline>
        </w:drawing>
      </w:r>
    </w:p>
    <w:p>
      <w:pPr>
        <w:spacing w:before="80"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Étape 3</w:t>
            </w:r>
          </w:p>
        </w:tc>
        <w:tc>
          <w:tcPr>
            <w:tcW w:type="dxa" w:w="8100"/>
            <w:shd w:fill="2E75B6" w:val="clear"/>
            <w:tcMar>
              <w:top w:type="dxa" w:w="100"/>
              <w:left w:type="dxa" w:w="200"/>
              <w:bottom w:type="dxa" w:w="100"/>
              <w:right w:type="dxa" w:w="140"/>
            </w:tcMar>
            <w:vAlign w:val="center"/>
          </w:tcPr>
          <w:p>
            <w:r>
              <w:rPr>
                <w:rFonts w:ascii="Arial" w:cs="Arial" w:eastAsia="Arial" w:hAnsi="Arial"/>
                <w:b/>
                <w:bCs/>
                <w:color w:val="FFFFFF"/>
                <w:sz w:val="22"/>
                <w:szCs w:val="22"/>
              </w:rPr>
              <w:t xml:space="preserve">Préparation du poste avant le déploiement</w:t>
            </w:r>
          </w:p>
        </w:tc>
      </w:tr>
    </w:tbl>
    <w:p>
      <w:pPr>
        <w:spacing w:before="80" w:after="60"/>
      </w:pPr>
      <w:r>
        <w:t xml:space="preserve"/>
      </w:r>
    </w:p>
    <w:p>
      <w:pPr>
        <w:spacing w:before="60" w:after="60"/>
      </w:pPr>
      <w:r>
        <w:rPr>
          <w:rFonts w:ascii="Arial" w:cs="Arial" w:eastAsia="Arial" w:hAnsi="Arial"/>
          <w:b w:val="false"/>
          <w:bCs w:val="false"/>
          <w:i w:val="false"/>
          <w:iCs w:val="false"/>
          <w:color w:val="1A1A1A"/>
          <w:sz w:val="22"/>
          <w:szCs w:val="22"/>
        </w:rPr>
        <w:t xml:space="preserve">Avant de lancer la masterisation, certains paramètres doivent impérativement être configurés sur le poste. Le non-respect de ces configurations empêchera le déploiement de s'exécuter correctement.</w:t>
      </w:r>
    </w:p>
    <w:p>
      <w:pPr>
        <w:spacing w:before="60" w:after="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8200"/>
      </w:tblGrid>
      <w:tr>
        <w:tc>
          <w:tcPr>
            <w:tcW w:type="dxa" w:w="800"/>
            <w:shd w:fill="E67E22" w:val="clear"/>
            <w:tcMar>
              <w:top w:type="dxa" w:w="120"/>
              <w:left w:type="dxa" w:w="120"/>
              <w:bottom w:type="dxa" w:w="120"/>
              <w:right w:type="dxa" w:w="120"/>
            </w:tcMar>
            <w:vAlign w:val="center"/>
          </w:tcPr>
          <w:p>
            <w:pPr>
              <w:jc w:val="center"/>
            </w:pPr>
            <w:r>
              <w:rPr>
                <w:rFonts w:ascii="Arial" w:cs="Arial" w:eastAsia="Arial" w:hAnsi="Arial"/>
                <w:sz w:val="28"/>
                <w:szCs w:val="28"/>
              </w:rPr>
              <w:t xml:space="preserve">⚠️</w:t>
            </w:r>
          </w:p>
        </w:tc>
        <w:tc>
          <w:tcPr>
            <w:tcW w:type="dxa" w:w="8200"/>
            <w:shd w:fill="FEF0E7" w:val="clear"/>
            <w:tcMar>
              <w:top w:type="dxa" w:w="120"/>
              <w:left w:type="dxa" w:w="180"/>
              <w:bottom w:type="dxa" w:w="120"/>
              <w:right w:type="dxa" w:w="120"/>
            </w:tcMar>
          </w:tcPr>
          <w:p>
            <w:r>
              <w:rPr>
                <w:rFonts w:ascii="Arial" w:cs="Arial" w:eastAsia="Arial" w:hAnsi="Arial"/>
                <w:b/>
                <w:bCs/>
                <w:color w:val="E67E22"/>
                <w:sz w:val="22"/>
                <w:szCs w:val="22"/>
              </w:rPr>
              <w:t xml:space="preserve">IMPORTANT : </w:t>
            </w:r>
            <w:r>
              <w:rPr>
                <w:rFonts w:ascii="Arial" w:cs="Arial" w:eastAsia="Arial" w:hAnsi="Arial"/>
                <w:color w:val="1A1A1A"/>
                <w:sz w:val="22"/>
                <w:szCs w:val="22"/>
              </w:rPr>
              <w:t xml:space="preserve">Le mot de passe administrateur local doit correspondre exactement à celui attendu par le serveur de masterisation. Si ce mot de passe est incorrect ou absent, le processus de déploiement ne pourra pas s'initier.</w:t>
            </w:r>
          </w:p>
        </w:tc>
      </w:tr>
    </w:tbl>
    <w:p>
      <w:pPr>
        <w:spacing w:before="80" w:after="60"/>
      </w:pPr>
      <w:r>
        <w:t xml:space="preserve"/>
      </w:r>
    </w:p>
    <w:p>
      <w:pPr>
        <w:spacing w:before="60" w:after="60"/>
      </w:pPr>
      <w:r>
        <w:rPr>
          <w:rFonts w:ascii="Arial" w:cs="Arial" w:eastAsia="Arial" w:hAnsi="Arial"/>
          <w:b/>
          <w:bCs/>
          <w:i w:val="false"/>
          <w:iCs w:val="false"/>
          <w:color w:val="1A1A1A"/>
          <w:sz w:val="22"/>
          <w:szCs w:val="22"/>
        </w:rPr>
        <w:t xml:space="preserve">Actions à effectuer :</w:t>
      </w:r>
    </w:p>
    <w:p>
      <w:pPr>
        <w:pStyle w:val="ListParagraph"/>
        <w:numPr>
          <w:ilvl w:val="0"/>
          <w:numId w:val="2"/>
        </w:numPr>
        <w:spacing w:before="40" w:after="40"/>
      </w:pPr>
      <w:r>
        <w:rPr>
          <w:rFonts w:ascii="Arial" w:cs="Arial" w:eastAsia="Arial" w:hAnsi="Arial"/>
          <w:b w:val="false"/>
          <w:bCs w:val="false"/>
          <w:color w:val="595959"/>
          <w:sz w:val="22"/>
          <w:szCs w:val="22"/>
        </w:rPr>
        <w:t xml:space="preserve">Définir le mot de passe administrateur local conformément aux exigences du serveur de masterisation.</w:t>
      </w:r>
    </w:p>
    <w:p>
      <w:pPr>
        <w:pStyle w:val="ListParagraph"/>
        <w:numPr>
          <w:ilvl w:val="0"/>
          <w:numId w:val="2"/>
        </w:numPr>
        <w:spacing w:before="40" w:after="40"/>
      </w:pPr>
      <w:r>
        <w:rPr>
          <w:rFonts w:ascii="Arial" w:cs="Arial" w:eastAsia="Arial" w:hAnsi="Arial"/>
          <w:b w:val="false"/>
          <w:bCs w:val="false"/>
          <w:color w:val="595959"/>
          <w:sz w:val="22"/>
          <w:szCs w:val="22"/>
        </w:rPr>
        <w:t xml:space="preserve">Vérifier et appliquer les paramètres BIOS/UEFI nécessaires (ex. : démarrage réseau PXE activé, Secure Boot configuré selon les prérequis).</w:t>
      </w:r>
    </w:p>
    <w:p>
      <w:pPr>
        <w:pStyle w:val="ListParagraph"/>
        <w:numPr>
          <w:ilvl w:val="0"/>
          <w:numId w:val="2"/>
        </w:numPr>
        <w:spacing w:before="40" w:after="40"/>
      </w:pPr>
      <w:r>
        <w:rPr>
          <w:rFonts w:ascii="Arial" w:cs="Arial" w:eastAsia="Arial" w:hAnsi="Arial"/>
          <w:b w:val="false"/>
          <w:bCs w:val="false"/>
          <w:color w:val="595959"/>
          <w:sz w:val="22"/>
          <w:szCs w:val="22"/>
        </w:rPr>
        <w:t xml:space="preserve">S'assurer que le poste est en état de déploiement (prêt à démarrer sur le réseau).</w:t>
      </w:r>
    </w:p>
    <w:p>
      <w:pPr>
        <w:spacing w:before="80"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Étape 4</w:t>
            </w:r>
          </w:p>
        </w:tc>
        <w:tc>
          <w:tcPr>
            <w:tcW w:type="dxa" w:w="8100"/>
            <w:shd w:fill="2E75B6" w:val="clear"/>
            <w:tcMar>
              <w:top w:type="dxa" w:w="100"/>
              <w:left w:type="dxa" w:w="200"/>
              <w:bottom w:type="dxa" w:w="100"/>
              <w:right w:type="dxa" w:w="140"/>
            </w:tcMar>
            <w:vAlign w:val="center"/>
          </w:tcPr>
          <w:p>
            <w:r>
              <w:rPr>
                <w:rFonts w:ascii="Arial" w:cs="Arial" w:eastAsia="Arial" w:hAnsi="Arial"/>
                <w:b/>
                <w:bCs/>
                <w:color w:val="FFFFFF"/>
                <w:sz w:val="22"/>
                <w:szCs w:val="22"/>
              </w:rPr>
              <w:t xml:space="preserve">Connexion réseau et lancement de la masterisation</w:t>
            </w:r>
          </w:p>
        </w:tc>
      </w:tr>
    </w:tbl>
    <w:p>
      <w:pPr>
        <w:spacing w:before="80" w:after="60"/>
      </w:pPr>
      <w:r>
        <w:t xml:space="preserve"/>
      </w:r>
    </w:p>
    <w:p>
      <w:pPr>
        <w:spacing w:before="60" w:after="60"/>
      </w:pPr>
      <w:r>
        <w:rPr>
          <w:rFonts w:ascii="Arial" w:cs="Arial" w:eastAsia="Arial" w:hAnsi="Arial"/>
          <w:b w:val="false"/>
          <w:bCs w:val="false"/>
          <w:i w:val="false"/>
          <w:iCs w:val="false"/>
          <w:color w:val="1A1A1A"/>
          <w:sz w:val="22"/>
          <w:szCs w:val="22"/>
        </w:rPr>
        <w:t xml:space="preserve">Le poste doit être connecté au réseau local via un câble Ethernet. Une fois la connexion établie, le serveur de masterisation détecte automatiquement le poste et déclenche le déploiement de l'image système.</w:t>
      </w:r>
    </w:p>
    <w:p>
      <w:pPr>
        <w:spacing w:before="60" w:after="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c>
          <w:tcPr>
            <w:tcW w:type="dxa" w:w="700"/>
            <w:shd w:fill="2E75B6" w:val="clear"/>
            <w:tcMar>
              <w:top w:type="dxa" w:w="120"/>
              <w:left w:type="dxa" w:w="120"/>
              <w:bottom w:type="dxa" w:w="120"/>
              <w:right w:type="dxa" w:w="120"/>
            </w:tcMar>
            <w:vAlign w:val="center"/>
          </w:tcPr>
          <w:p>
            <w:pPr>
              <w:jc w:val="center"/>
            </w:pPr>
            <w:r>
              <w:rPr>
                <w:rFonts w:ascii="Arial" w:cs="Arial" w:eastAsia="Arial" w:hAnsi="Arial"/>
                <w:sz w:val="26"/>
                <w:szCs w:val="26"/>
              </w:rPr>
              <w:t xml:space="preserve">ℹ️</w:t>
            </w:r>
          </w:p>
        </w:tc>
        <w:tc>
          <w:tcPr>
            <w:tcW w:type="dxa" w:w="8300"/>
            <w:shd w:fill="D6E4F0" w:val="clear"/>
            <w:tcMar>
              <w:top w:type="dxa" w:w="120"/>
              <w:left w:type="dxa" w:w="180"/>
              <w:bottom w:type="dxa" w:w="120"/>
              <w:right w:type="dxa" w:w="120"/>
            </w:tcMar>
          </w:tcPr>
          <w:p>
            <w:r>
              <w:rPr>
                <w:rFonts w:ascii="Arial" w:cs="Arial" w:eastAsia="Arial" w:hAnsi="Arial"/>
                <w:color w:val="1F3864"/>
                <w:sz w:val="22"/>
                <w:szCs w:val="22"/>
              </w:rPr>
              <w:t xml:space="preserve">La durée de déploiement est d'environ 4 heures. Il est recommandé de lancer cette opération en début de journée ou en fin d'après-midi afin d'optimiser l'occupation du poste de travail.</w:t>
            </w:r>
          </w:p>
        </w:tc>
      </w:tr>
    </w:tbl>
    <w:p>
      <w:pPr>
        <w:spacing w:before="80" w:after="60"/>
      </w:pPr>
      <w:r>
        <w:t xml:space="preserve"/>
      </w:r>
    </w:p>
    <w:p>
      <w:pPr>
        <w:spacing w:before="60" w:after="60"/>
      </w:pPr>
      <w:r>
        <w:rPr>
          <w:rFonts w:ascii="Arial" w:cs="Arial" w:eastAsia="Arial" w:hAnsi="Arial"/>
          <w:b/>
          <w:bCs/>
          <w:i w:val="false"/>
          <w:iCs w:val="false"/>
          <w:color w:val="1A1A1A"/>
          <w:sz w:val="22"/>
          <w:szCs w:val="22"/>
        </w:rPr>
        <w:t xml:space="preserve">Actions à effectuer :</w:t>
      </w:r>
    </w:p>
    <w:p>
      <w:pPr>
        <w:pStyle w:val="ListParagraph"/>
        <w:numPr>
          <w:ilvl w:val="0"/>
          <w:numId w:val="2"/>
        </w:numPr>
        <w:spacing w:before="40" w:after="40"/>
      </w:pPr>
      <w:r>
        <w:rPr>
          <w:rFonts w:ascii="Arial" w:cs="Arial" w:eastAsia="Arial" w:hAnsi="Arial"/>
          <w:b w:val="false"/>
          <w:bCs w:val="false"/>
          <w:color w:val="595959"/>
          <w:sz w:val="22"/>
          <w:szCs w:val="22"/>
        </w:rPr>
        <w:t xml:space="preserve">Connecter le câble réseau (RJ45) au poste de travail.</w:t>
      </w:r>
    </w:p>
    <w:p>
      <w:pPr>
        <w:pStyle w:val="ListParagraph"/>
        <w:numPr>
          <w:ilvl w:val="0"/>
          <w:numId w:val="2"/>
        </w:numPr>
        <w:spacing w:before="40" w:after="40"/>
      </w:pPr>
      <w:r>
        <w:rPr>
          <w:rFonts w:ascii="Arial" w:cs="Arial" w:eastAsia="Arial" w:hAnsi="Arial"/>
          <w:b w:val="false"/>
          <w:bCs w:val="false"/>
          <w:color w:val="595959"/>
          <w:sz w:val="22"/>
          <w:szCs w:val="22"/>
        </w:rPr>
        <w:t xml:space="preserve">Démarrer le poste et s'assurer qu'il démarre bien sur le réseau (boot PXE).</w:t>
      </w:r>
    </w:p>
    <w:p>
      <w:pPr>
        <w:pStyle w:val="ListParagraph"/>
        <w:numPr>
          <w:ilvl w:val="0"/>
          <w:numId w:val="2"/>
        </w:numPr>
        <w:spacing w:before="40" w:after="40"/>
      </w:pPr>
      <w:r>
        <w:rPr>
          <w:rFonts w:ascii="Arial" w:cs="Arial" w:eastAsia="Arial" w:hAnsi="Arial"/>
          <w:b w:val="false"/>
          <w:bCs w:val="false"/>
          <w:color w:val="595959"/>
          <w:sz w:val="22"/>
          <w:szCs w:val="22"/>
        </w:rPr>
        <w:t xml:space="preserve">Vérifier sur l'interface du serveur que le déploiement est bien initié.</w:t>
      </w:r>
    </w:p>
    <w:p>
      <w:pPr>
        <w:pStyle w:val="ListParagraph"/>
        <w:numPr>
          <w:ilvl w:val="0"/>
          <w:numId w:val="2"/>
        </w:numPr>
        <w:spacing w:before="40" w:after="40"/>
      </w:pPr>
      <w:r>
        <w:rPr>
          <w:rFonts w:ascii="Arial" w:cs="Arial" w:eastAsia="Arial" w:hAnsi="Arial"/>
          <w:b w:val="false"/>
          <w:bCs w:val="false"/>
          <w:color w:val="595959"/>
          <w:sz w:val="22"/>
          <w:szCs w:val="22"/>
        </w:rPr>
        <w:t xml:space="preserve">Ne pas interrompre l'alimentation électrique ni déconnecter le câble réseau durant toute la durée du déploiement.</w:t>
      </w:r>
    </w:p>
    <w:p>
      <w:pPr>
        <w:spacing w:before="80" w:after="60"/>
      </w:pPr>
      <w:r>
        <w:t xml:space="preserve"/>
      </w:r>
    </w:p>
    <w:p>
      <w:pPr>
        <w:spacing w:before="120" w:after="120"/>
        <w:jc w:val="center"/>
      </w:pPr>
      <w:r>
        <w:drawing>
          <wp:inline distT="0" distB="0" distL="0" distR="0">
            <wp:extent cx="471487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14875" cy="2552700"/>
                    </a:xfrm>
                    <a:prstGeom prst="rect">
                      <a:avLst/>
                    </a:prstGeom>
                  </pic:spPr>
                </pic:pic>
              </a:graphicData>
            </a:graphic>
          </wp:inline>
        </w:drawing>
      </w:r>
    </w:p>
    <w:p>
      <w:pPr>
        <w:spacing w:before="40" w:after="40"/>
      </w:pPr>
      <w:r>
        <w:t xml:space="preserve"/>
      </w:r>
    </w:p>
    <w:p>
      <w:pPr>
        <w:spacing w:before="120" w:after="120"/>
        <w:jc w:val="center"/>
      </w:pPr>
      <w:r>
        <w:drawing>
          <wp:inline distT="0" distB="0" distL="0" distR="0">
            <wp:extent cx="4667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381250"/>
                    </a:xfrm>
                    <a:prstGeom prst="rect">
                      <a:avLst/>
                    </a:prstGeom>
                  </pic:spPr>
                </pic:pic>
              </a:graphicData>
            </a:graphic>
          </wp:inline>
        </w:drawing>
      </w:r>
    </w:p>
    <w:p>
      <w:pPr>
        <w:spacing w:before="40" w:after="40"/>
      </w:pPr>
      <w:r>
        <w:t xml:space="preserve"/>
      </w:r>
    </w:p>
    <w:p>
      <w:pPr>
        <w:spacing w:before="120" w:after="120"/>
        <w:jc w:val="center"/>
      </w:pPr>
      <w:r>
        <w:drawing>
          <wp:inline distT="0" distB="0" distL="0" distR="0">
            <wp:extent cx="46196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19625" cy="2238375"/>
                    </a:xfrm>
                    <a:prstGeom prst="rect">
                      <a:avLst/>
                    </a:prstGeom>
                  </pic:spPr>
                </pic:pic>
              </a:graphicData>
            </a:graphic>
          </wp:inline>
        </w:drawing>
      </w:r>
    </w:p>
    <w:p>
      <w:pPr>
        <w:spacing w:before="80"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Étape 5</w:t>
            </w:r>
          </w:p>
        </w:tc>
        <w:tc>
          <w:tcPr>
            <w:tcW w:type="dxa" w:w="8100"/>
            <w:shd w:fill="2E75B6" w:val="clear"/>
            <w:tcMar>
              <w:top w:type="dxa" w:w="100"/>
              <w:left w:type="dxa" w:w="200"/>
              <w:bottom w:type="dxa" w:w="100"/>
              <w:right w:type="dxa" w:w="140"/>
            </w:tcMar>
            <w:vAlign w:val="center"/>
          </w:tcPr>
          <w:p>
            <w:r>
              <w:rPr>
                <w:rFonts w:ascii="Arial" w:cs="Arial" w:eastAsia="Arial" w:hAnsi="Arial"/>
                <w:b/>
                <w:bCs/>
                <w:color w:val="FFFFFF"/>
                <w:sz w:val="22"/>
                <w:szCs w:val="22"/>
              </w:rPr>
              <w:t xml:space="preserve">Configuration finale et validation du poste</w:t>
            </w:r>
          </w:p>
        </w:tc>
      </w:tr>
    </w:tbl>
    <w:p>
      <w:pPr>
        <w:spacing w:before="80" w:after="60"/>
      </w:pPr>
      <w:r>
        <w:t xml:space="preserve"/>
      </w:r>
    </w:p>
    <w:p>
      <w:pPr>
        <w:spacing w:before="60" w:after="60"/>
      </w:pPr>
      <w:r>
        <w:rPr>
          <w:rFonts w:ascii="Arial" w:cs="Arial" w:eastAsia="Arial" w:hAnsi="Arial"/>
          <w:b w:val="false"/>
          <w:bCs w:val="false"/>
          <w:i w:val="false"/>
          <w:iCs w:val="false"/>
          <w:color w:val="1A1A1A"/>
          <w:sz w:val="22"/>
          <w:szCs w:val="22"/>
        </w:rPr>
        <w:t xml:space="preserve">Une fois la masterisation terminée, le poste redémarre automatiquement avec le système d'exploitation déployé. Une série de configurations finales doit être réalisée avant de remettre le poste à l'utilisateur.</w:t>
      </w:r>
    </w:p>
    <w:p>
      <w:pPr>
        <w:spacing w:before="60" w:after="60"/>
      </w:pPr>
      <w:r>
        <w:t xml:space="preserve"/>
      </w:r>
    </w:p>
    <w:p>
      <w:pPr>
        <w:spacing w:before="60" w:after="60"/>
      </w:pPr>
      <w:r>
        <w:rPr>
          <w:rFonts w:ascii="Arial" w:cs="Arial" w:eastAsia="Arial" w:hAnsi="Arial"/>
          <w:b/>
          <w:bCs/>
          <w:i w:val="false"/>
          <w:iCs w:val="false"/>
          <w:color w:val="1A1A1A"/>
          <w:sz w:val="22"/>
          <w:szCs w:val="22"/>
        </w:rPr>
        <w:t xml:space="preserve">Actions à effectuer :</w:t>
      </w:r>
    </w:p>
    <w:p>
      <w:pPr>
        <w:pStyle w:val="ListParagraph"/>
        <w:numPr>
          <w:ilvl w:val="0"/>
          <w:numId w:val="2"/>
        </w:numPr>
        <w:spacing w:before="40" w:after="40"/>
      </w:pPr>
      <w:r>
        <w:rPr>
          <w:rFonts w:ascii="Arial" w:cs="Arial" w:eastAsia="Arial" w:hAnsi="Arial"/>
          <w:b w:val="false"/>
          <w:bCs w:val="false"/>
          <w:color w:val="595959"/>
          <w:sz w:val="22"/>
          <w:szCs w:val="22"/>
        </w:rPr>
        <w:t xml:space="preserve">Vérifier que le système démarre correctement et que l'image a bien été appliquée.</w:t>
      </w:r>
    </w:p>
    <w:p>
      <w:pPr>
        <w:pStyle w:val="ListParagraph"/>
        <w:numPr>
          <w:ilvl w:val="0"/>
          <w:numId w:val="2"/>
        </w:numPr>
        <w:spacing w:before="40" w:after="40"/>
      </w:pPr>
      <w:r>
        <w:rPr>
          <w:rFonts w:ascii="Arial" w:cs="Arial" w:eastAsia="Arial" w:hAnsi="Arial"/>
          <w:b w:val="false"/>
          <w:bCs w:val="false"/>
          <w:color w:val="595959"/>
          <w:sz w:val="22"/>
          <w:szCs w:val="22"/>
        </w:rPr>
        <w:t xml:space="preserve">Effectuer les paramétrage finaux spécifiques (nom de machine, jonction au domaine, profil utilisateur, etc.).</w:t>
      </w:r>
    </w:p>
    <w:p>
      <w:pPr>
        <w:pStyle w:val="ListParagraph"/>
        <w:numPr>
          <w:ilvl w:val="0"/>
          <w:numId w:val="2"/>
        </w:numPr>
        <w:spacing w:before="40" w:after="40"/>
      </w:pPr>
      <w:r>
        <w:rPr>
          <w:rFonts w:ascii="Arial" w:cs="Arial" w:eastAsia="Arial" w:hAnsi="Arial"/>
          <w:b w:val="false"/>
          <w:bCs w:val="false"/>
          <w:color w:val="595959"/>
          <w:sz w:val="22"/>
          <w:szCs w:val="22"/>
        </w:rPr>
        <w:t xml:space="preserve">Installer et vérifier les logiciels métiers requis si non inclus dans l'image.</w:t>
      </w:r>
    </w:p>
    <w:p>
      <w:pPr>
        <w:pStyle w:val="ListParagraph"/>
        <w:numPr>
          <w:ilvl w:val="0"/>
          <w:numId w:val="2"/>
        </w:numPr>
        <w:spacing w:before="40" w:after="40"/>
      </w:pPr>
      <w:r>
        <w:rPr>
          <w:rFonts w:ascii="Arial" w:cs="Arial" w:eastAsia="Arial" w:hAnsi="Arial"/>
          <w:b w:val="false"/>
          <w:bCs w:val="false"/>
          <w:color w:val="595959"/>
          <w:sz w:val="22"/>
          <w:szCs w:val="22"/>
        </w:rPr>
        <w:t xml:space="preserve">Effectuer un test fonctionnel complet (réseau, imprimantes, applications).</w:t>
      </w:r>
    </w:p>
    <w:p>
      <w:pPr>
        <w:pStyle w:val="ListParagraph"/>
        <w:numPr>
          <w:ilvl w:val="0"/>
          <w:numId w:val="2"/>
        </w:numPr>
        <w:spacing w:before="40" w:after="40"/>
      </w:pPr>
      <w:r>
        <w:rPr>
          <w:rFonts w:ascii="Arial" w:cs="Arial" w:eastAsia="Arial" w:hAnsi="Arial"/>
          <w:b w:val="false"/>
          <w:bCs w:val="false"/>
          <w:color w:val="595959"/>
          <w:sz w:val="22"/>
          <w:szCs w:val="22"/>
        </w:rPr>
        <w:t xml:space="preserve">Valider le poste dans l'outil de gestion de parc et mettre à jour son statut.</w:t>
      </w:r>
    </w:p>
    <w:p>
      <w:pPr>
        <w:spacing w:before="80" w:after="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c>
          <w:tcPr>
            <w:tcW w:type="dxa" w:w="700"/>
            <w:shd w:fill="27AE60" w:val="clear"/>
            <w:tcMar>
              <w:top w:type="dxa" w:w="120"/>
              <w:left w:type="dxa" w:w="120"/>
              <w:bottom w:type="dxa" w:w="120"/>
              <w:right w:type="dxa" w:w="120"/>
            </w:tcMar>
            <w:vAlign w:val="center"/>
          </w:tcPr>
          <w:p>
            <w:pPr>
              <w:jc w:val="center"/>
            </w:pPr>
            <w:r>
              <w:rPr>
                <w:rFonts w:ascii="Arial" w:cs="Arial" w:eastAsia="Arial" w:hAnsi="Arial"/>
                <w:sz w:val="26"/>
                <w:szCs w:val="26"/>
              </w:rPr>
              <w:t xml:space="preserve">✅</w:t>
            </w:r>
          </w:p>
        </w:tc>
        <w:tc>
          <w:tcPr>
            <w:tcW w:type="dxa" w:w="8300"/>
            <w:shd w:fill="EAFAF1" w:val="clear"/>
            <w:tcMar>
              <w:top w:type="dxa" w:w="120"/>
              <w:left w:type="dxa" w:w="180"/>
              <w:bottom w:type="dxa" w:w="120"/>
              <w:right w:type="dxa" w:w="120"/>
            </w:tcMar>
          </w:tcPr>
          <w:p>
            <w:r>
              <w:rPr>
                <w:rFonts w:ascii="Arial" w:cs="Arial" w:eastAsia="Arial" w:hAnsi="Arial"/>
                <w:color w:val="1A5E35"/>
                <w:sz w:val="22"/>
                <w:szCs w:val="22"/>
              </w:rPr>
              <w:t xml:space="preserve">Le poste est désormais prêt à être remis à l'utilisateur. La procédure de masterisation est complète.</w:t>
            </w:r>
          </w:p>
        </w:tc>
      </w:tr>
    </w:tbl>
    <w:p>
      <w:pPr>
        <w:spacing w:before="160" w:after="120"/>
      </w:pPr>
      <w:r>
        <w:t xml:space="preserve"/>
      </w:r>
    </w:p>
    <w:p>
      <w:pPr>
        <w:pStyle w:val="Heading1"/>
      </w:pPr>
      <w:r>
        <w:t xml:space="preserve">4. Points importants et bonnes pratiques</w:t>
      </w:r>
    </w:p>
    <w:p>
      <w:pPr>
        <w:pBdr>
          <w:bottom w:val="single" w:color="2E75B6" w:sz="6" w:space="1"/>
        </w:pBdr>
        <w:spacing w:before="120" w:after="120"/>
      </w:pPr>
    </w:p>
    <w:p>
      <w:pPr>
        <w:spacing w:before="60" w:after="40"/>
      </w:pPr>
      <w:r>
        <w:t xml:space="preserve"/>
      </w:r>
    </w:p>
    <w:p>
      <w:pPr>
        <w:pStyle w:val="Heading2"/>
      </w:pPr>
      <w:r>
        <w:t xml:space="preserve">4.1 Sécurité et mots de passe</w:t>
      </w:r>
    </w:p>
    <w:p>
      <w:pPr>
        <w:pStyle w:val="ListParagraph"/>
        <w:numPr>
          <w:ilvl w:val="0"/>
          <w:numId w:val="2"/>
        </w:numPr>
        <w:spacing w:before="40" w:after="40"/>
      </w:pPr>
      <w:r>
        <w:rPr>
          <w:rFonts w:ascii="Arial" w:cs="Arial" w:eastAsia="Arial" w:hAnsi="Arial"/>
          <w:b w:val="false"/>
          <w:bCs w:val="false"/>
          <w:color w:val="595959"/>
          <w:sz w:val="22"/>
          <w:szCs w:val="22"/>
        </w:rPr>
        <w:t xml:space="preserve">Le mot de passe administrateur local doit être strictement confidentiel et conforme à la politique de sécurité de l'entreprise.</w:t>
      </w:r>
    </w:p>
    <w:p>
      <w:pPr>
        <w:pStyle w:val="ListParagraph"/>
        <w:numPr>
          <w:ilvl w:val="0"/>
          <w:numId w:val="2"/>
        </w:numPr>
        <w:spacing w:before="40" w:after="40"/>
      </w:pPr>
      <w:r>
        <w:rPr>
          <w:rFonts w:ascii="Arial" w:cs="Arial" w:eastAsia="Arial" w:hAnsi="Arial"/>
          <w:b w:val="false"/>
          <w:bCs w:val="false"/>
          <w:color w:val="595959"/>
          <w:sz w:val="22"/>
          <w:szCs w:val="22"/>
        </w:rPr>
        <w:t xml:space="preserve">Ne jamais renseigner ce mot de passe dans un outil ou un e-mail non sécurisé.</w:t>
      </w:r>
    </w:p>
    <w:p>
      <w:pPr>
        <w:spacing w:before="40" w:after="40"/>
      </w:pPr>
      <w:r>
        <w:t xml:space="preserve"/>
      </w:r>
    </w:p>
    <w:p>
      <w:pPr>
        <w:pStyle w:val="Heading2"/>
      </w:pPr>
      <w:r>
        <w:t xml:space="preserve">4.2 Intégrité du déploiement</w:t>
      </w:r>
    </w:p>
    <w:p>
      <w:pPr>
        <w:pStyle w:val="ListParagraph"/>
        <w:numPr>
          <w:ilvl w:val="0"/>
          <w:numId w:val="2"/>
        </w:numPr>
        <w:spacing w:before="40" w:after="40"/>
      </w:pPr>
      <w:r>
        <w:rPr>
          <w:rFonts w:ascii="Arial" w:cs="Arial" w:eastAsia="Arial" w:hAnsi="Arial"/>
          <w:b w:val="false"/>
          <w:bCs w:val="false"/>
          <w:color w:val="595959"/>
          <w:sz w:val="22"/>
          <w:szCs w:val="22"/>
        </w:rPr>
        <w:t xml:space="preserve">Ne jamais interrompre le processus de masterisation en cours (risque de corruption de l'image ou du poste).</w:t>
      </w:r>
    </w:p>
    <w:p>
      <w:pPr>
        <w:pStyle w:val="ListParagraph"/>
        <w:numPr>
          <w:ilvl w:val="0"/>
          <w:numId w:val="2"/>
        </w:numPr>
        <w:spacing w:before="40" w:after="40"/>
      </w:pPr>
      <w:r>
        <w:rPr>
          <w:rFonts w:ascii="Arial" w:cs="Arial" w:eastAsia="Arial" w:hAnsi="Arial"/>
          <w:b w:val="false"/>
          <w:bCs w:val="false"/>
          <w:color w:val="595959"/>
          <w:sz w:val="22"/>
          <w:szCs w:val="22"/>
        </w:rPr>
        <w:t xml:space="preserve">En cas de coupure réseau ou d'erreur, contacter le responsable DSI avant toute tentative de relance.</w:t>
      </w:r>
    </w:p>
    <w:p>
      <w:pPr>
        <w:spacing w:before="40" w:after="40"/>
      </w:pPr>
      <w:r>
        <w:t xml:space="preserve"/>
      </w:r>
    </w:p>
    <w:p>
      <w:pPr>
        <w:pStyle w:val="Heading2"/>
      </w:pPr>
      <w:r>
        <w:t xml:space="preserve">4.3 Traçabilité</w:t>
      </w:r>
    </w:p>
    <w:p>
      <w:pPr>
        <w:pStyle w:val="ListParagraph"/>
        <w:numPr>
          <w:ilvl w:val="0"/>
          <w:numId w:val="2"/>
        </w:numPr>
        <w:spacing w:before="40" w:after="40"/>
      </w:pPr>
      <w:r>
        <w:rPr>
          <w:rFonts w:ascii="Arial" w:cs="Arial" w:eastAsia="Arial" w:hAnsi="Arial"/>
          <w:b w:val="false"/>
          <w:bCs w:val="false"/>
          <w:color w:val="595959"/>
          <w:sz w:val="22"/>
          <w:szCs w:val="22"/>
        </w:rPr>
        <w:t xml:space="preserve">Chaque étape doit être documentée et tracée dans l'outil de gestion du parc.</w:t>
      </w:r>
    </w:p>
    <w:p>
      <w:pPr>
        <w:pStyle w:val="ListParagraph"/>
        <w:numPr>
          <w:ilvl w:val="0"/>
          <w:numId w:val="2"/>
        </w:numPr>
        <w:spacing w:before="40" w:after="40"/>
      </w:pPr>
      <w:r>
        <w:rPr>
          <w:rFonts w:ascii="Arial" w:cs="Arial" w:eastAsia="Arial" w:hAnsi="Arial"/>
          <w:b w:val="false"/>
          <w:bCs w:val="false"/>
          <w:color w:val="595959"/>
          <w:sz w:val="22"/>
          <w:szCs w:val="22"/>
        </w:rPr>
        <w:t xml:space="preserve">Le technicien ayant réalisé la masterisation doit être identifié dans le système (nom + date).</w:t>
      </w:r>
    </w:p>
    <w:p>
      <w:pPr>
        <w:spacing w:before="160" w:after="120"/>
      </w:pPr>
      <w:r>
        <w:t xml:space="preserve"/>
      </w:r>
    </w:p>
    <w:p>
      <w:pPr>
        <w:pStyle w:val="Heading1"/>
      </w:pPr>
      <w:r>
        <w:t xml:space="preserve">5. Conclusion</w:t>
      </w:r>
    </w:p>
    <w:p>
      <w:pPr>
        <w:pBdr>
          <w:bottom w:val="single" w:color="2E75B6" w:sz="6" w:space="1"/>
        </w:pBdr>
        <w:spacing w:before="120" w:after="120"/>
      </w:pPr>
    </w:p>
    <w:p>
      <w:pPr>
        <w:spacing w:before="60" w:after="60"/>
      </w:pPr>
      <w:r>
        <w:rPr>
          <w:rFonts w:ascii="Arial" w:cs="Arial" w:eastAsia="Arial" w:hAnsi="Arial"/>
          <w:b w:val="false"/>
          <w:bCs w:val="false"/>
          <w:i w:val="false"/>
          <w:iCs w:val="false"/>
          <w:color w:val="1A1A1A"/>
          <w:sz w:val="22"/>
          <w:szCs w:val="22"/>
        </w:rPr>
        <w:t xml:space="preserve">La procédure de masterisation est une étape clé dans la gestion du parc informatique de l'entreprise. Elle garantit l'homogénéité des postes de travail, la conformité aux standards de l'organisation et la rapidité d'intégration des nouveaux équipements.</w:t>
      </w:r>
    </w:p>
    <w:p>
      <w:pPr>
        <w:spacing w:before="60" w:after="60"/>
      </w:pPr>
      <w:r>
        <w:t xml:space="preserve"/>
      </w:r>
    </w:p>
    <w:p>
      <w:pPr>
        <w:spacing w:before="60" w:after="60"/>
      </w:pPr>
      <w:r>
        <w:rPr>
          <w:rFonts w:ascii="Arial" w:cs="Arial" w:eastAsia="Arial" w:hAnsi="Arial"/>
          <w:b w:val="false"/>
          <w:bCs w:val="false"/>
          <w:i w:val="false"/>
          <w:iCs w:val="false"/>
          <w:color w:val="1A1A1A"/>
          <w:sz w:val="22"/>
          <w:szCs w:val="22"/>
        </w:rPr>
        <w:t xml:space="preserve">En suivant rigoureusement les étapes décrites dans ce document, le technicien s'assure d'un déploiement fiable, sécurisé et traçable, répondant aux exigences de qualité de service de la Direction des Systèmes d'Information.</w:t>
      </w:r>
    </w:p>
    <w:p>
      <w:pPr>
        <w:spacing w:before="80"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c>
          <w:tcPr>
            <w:tcW w:type="dxa" w:w="700"/>
            <w:shd w:fill="2E75B6" w:val="clear"/>
            <w:tcMar>
              <w:top w:type="dxa" w:w="120"/>
              <w:left w:type="dxa" w:w="120"/>
              <w:bottom w:type="dxa" w:w="120"/>
              <w:right w:type="dxa" w:w="120"/>
            </w:tcMar>
            <w:vAlign w:val="center"/>
          </w:tcPr>
          <w:p>
            <w:pPr>
              <w:jc w:val="center"/>
            </w:pPr>
            <w:r>
              <w:rPr>
                <w:rFonts w:ascii="Arial" w:cs="Arial" w:eastAsia="Arial" w:hAnsi="Arial"/>
                <w:sz w:val="26"/>
                <w:szCs w:val="26"/>
              </w:rPr>
              <w:t xml:space="preserve">ℹ️</w:t>
            </w:r>
          </w:p>
        </w:tc>
        <w:tc>
          <w:tcPr>
            <w:tcW w:type="dxa" w:w="8300"/>
            <w:shd w:fill="D6E4F0" w:val="clear"/>
            <w:tcMar>
              <w:top w:type="dxa" w:w="120"/>
              <w:left w:type="dxa" w:w="180"/>
              <w:bottom w:type="dxa" w:w="120"/>
              <w:right w:type="dxa" w:w="120"/>
            </w:tcMar>
          </w:tcPr>
          <w:p>
            <w:r>
              <w:rPr>
                <w:rFonts w:ascii="Arial" w:cs="Arial" w:eastAsia="Arial" w:hAnsi="Arial"/>
                <w:color w:val="1F3864"/>
                <w:sz w:val="22"/>
                <w:szCs w:val="22"/>
              </w:rPr>
              <w:t xml:space="preserve">Pour toute question ou anomalie rencontrée lors de la procédure, se rapprocher du responsable technique DSI ou consulter la base de connaissances interne.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4F0" w:sz="4" w:space="1"/>
      </w:pBdr>
      <w:spacing w:before="100" w:after="0"/>
      <w:jc w:val="right"/>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before="0" w:after="160"/>
    </w:pPr>
    <w:r>
      <w:rPr>
        <w:rFonts w:ascii="Arial" w:cs="Arial" w:eastAsia="Arial" w:hAnsi="Arial"/>
        <w:color w:val="595959"/>
        <w:sz w:val="18"/>
        <w:szCs w:val="18"/>
      </w:rPr>
      <w:t xml:space="preserve">Procédure de Masterisation en Entreprise</w:t>
    </w:r>
    <w:r>
      <w:rPr>
        <w:rFonts w:ascii="Arial" w:cs="Arial" w:eastAsia="Arial" w:hAnsi="Arial"/>
        <w:color w:val="BBBBBB"/>
        <w:sz w:val="18"/>
        <w:szCs w:val="18"/>
      </w:rPr>
      <w:t xml:space="preserve">   |   </w:t>
    </w:r>
    <w:r>
      <w:rPr>
        <w:rFonts w:ascii="Arial" w:cs="Arial" w:eastAsia="Arial" w:hAnsi="Arial"/>
        <w:i/>
        <w:iCs/>
        <w:color w:val="595959"/>
        <w:sz w:val="18"/>
        <w:szCs w:val="18"/>
      </w:rPr>
      <w:t xml:space="preserve">Direction des Systèmes d'Information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6"/>
      <w:szCs w:val="36"/>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1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f3f57a7148381f11e7dfb81ffde39057ca020ff.png"/><Relationship Id="rId9" Type="http://schemas.openxmlformats.org/officeDocument/2006/relationships/image" Target="media/fc2e9cecca6a7ea5b86dd3f601b1235d5d75d5dd.png"/><Relationship Id="rId10" Type="http://schemas.openxmlformats.org/officeDocument/2006/relationships/image" Target="media/a8fb23c43a07ef46d45e9a423a6f4d091941e5bd.png"/><Relationship Id="rId11" Type="http://schemas.openxmlformats.org/officeDocument/2006/relationships/image" Target="media/cbec00675595067770e7abd7791a1ac463457217.png"/><Relationship Id="rId12" Type="http://schemas.openxmlformats.org/officeDocument/2006/relationships/image" Target="media/5335748ffda103bae9ead9128914ff9f1f30b645.png"/><Relationship Id="rId13" Type="http://schemas.openxmlformats.org/officeDocument/2006/relationships/image" Target="media/f55aa4fc284299eaeafd432469c7977ffd8d4fcc.png"/><Relationship Id="rId14" Type="http://schemas.openxmlformats.org/officeDocument/2006/relationships/image" Target="media/b7cae63f7a9530d4e4e9a98051973339284de28e.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2026-03-20T14:28:09.683Z</dcterms:created>
  <dcterms:modified xsi:type="dcterms:W3CDTF">2026-03-20T14:28:09.684Z</dcterms:modified>
</cp:coreProperties>
</file>

<file path=docProps/custom.xml><?xml version="1.0" encoding="utf-8"?>
<Properties xmlns="http://schemas.openxmlformats.org/officeDocument/2006/custom-properties" xmlns:vt="http://schemas.openxmlformats.org/officeDocument/2006/docPropsVTypes"/>
</file>