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087" w:val="clear"/>
            <w:tcMar>
              <w:top w:type="dxa" w:w="500"/>
              <w:left w:type="dxa" w:w="400"/>
              <w:bottom w:type="dxa" w:w="500"/>
              <w:right w:type="dxa" w:w="400"/>
            </w:tcMar>
          </w:tcPr>
          <w:p>
            <w:pPr>
              <w:spacing w:after="100" w:before="0"/>
              <w:jc w:val="center"/>
            </w:pPr>
            <w:r>
              <w:rPr>
                <w:rFonts w:ascii="Arial" w:cs="Arial" w:eastAsia="Arial" w:hAnsi="Arial"/>
                <w:b/>
                <w:bCs/>
                <w:color w:val="8899BB"/>
                <w:sz w:val="20"/>
                <w:szCs w:val="20"/>
              </w:rPr>
              <w:t xml:space="preserve">BANQUE DE FRANCE</w:t>
            </w:r>
          </w:p>
          <w:p>
            <w:pPr>
              <w:spacing w:after="60" w:before="0"/>
              <w:jc w:val="center"/>
            </w:pPr>
            <w:r>
              <w:rPr>
                <w:rFonts w:ascii="Arial" w:cs="Arial" w:eastAsia="Arial" w:hAnsi="Arial"/>
                <w:color w:val="8899BB"/>
                <w:sz w:val="18"/>
                <w:szCs w:val="18"/>
              </w:rPr>
              <w:t xml:space="preserve">Direction Générale des Systèmes d’Information</w:t>
            </w:r>
          </w:p>
          <w:p>
            <w:pPr>
              <w:spacing w:after="240" w:before="240"/>
              <w:jc w:val="center"/>
            </w:pPr>
            <w:r>
              <w:rPr>
                <w:rFonts w:ascii="Arial" w:cs="Arial" w:eastAsia="Arial" w:hAnsi="Arial"/>
                <w:color w:val="334477"/>
                <w:sz w:val="18"/>
                <w:szCs w:val="18"/>
              </w:rPr>
              <w:t xml:space="preserve">──────────────────────────────</w:t>
            </w:r>
          </w:p>
          <w:p>
            <w:pPr>
              <w:spacing w:after="180" w:before="0"/>
              <w:jc w:val="center"/>
            </w:pPr>
            <w:r>
              <w:rPr>
                <w:rFonts w:ascii="Arial" w:cs="Arial" w:eastAsia="Arial" w:hAnsi="Arial"/>
                <w:b/>
                <w:bCs/>
                <w:color w:val="FFFFFF"/>
                <w:sz w:val="44"/>
                <w:szCs w:val="44"/>
              </w:rPr>
              <w:t xml:space="preserve">PROCÉDURE</w:t>
            </w:r>
          </w:p>
          <w:p>
            <w:pPr>
              <w:spacing w:after="160" w:before="0"/>
              <w:jc w:val="center"/>
            </w:pPr>
            <w:r>
              <w:rPr>
                <w:rFonts w:ascii="Arial" w:cs="Arial" w:eastAsia="Arial" w:hAnsi="Arial"/>
                <w:b/>
                <w:bCs/>
                <w:color w:val="5599FF"/>
                <w:sz w:val="34"/>
                <w:szCs w:val="34"/>
              </w:rPr>
              <w:t xml:space="preserve">Gestion d’un Incident Matériel PC</w:t>
            </w:r>
          </w:p>
          <w:p>
            <w:pPr>
              <w:spacing w:after="400" w:before="0"/>
              <w:jc w:val="center"/>
            </w:pPr>
            <w:r>
              <w:rPr>
                <w:rFonts w:ascii="Arial" w:cs="Arial" w:eastAsia="Arial" w:hAnsi="Arial"/>
                <w:color w:val="AABBDD"/>
                <w:sz w:val="22"/>
                <w:szCs w:val="22"/>
              </w:rPr>
              <w:t xml:space="preserve">Prise en charge, Ticketing BMC Remedy et Envoi en Réparation</w:t>
            </w:r>
          </w:p>
          <w:p>
            <w:pPr>
              <w:spacing w:after="0" w:before="160"/>
              <w:jc w:val="center"/>
            </w:pPr>
            <w:r>
              <w:rPr>
                <w:rFonts w:ascii="Arial" w:cs="Arial" w:eastAsia="Arial" w:hAnsi="Arial"/>
                <w:color w:val="334477"/>
                <w:sz w:val="18"/>
                <w:szCs w:val="18"/>
              </w:rPr>
              <w:t xml:space="preserve">──────────────────────────────</w:t>
            </w:r>
          </w:p>
        </w:tc>
      </w:tr>
    </w:tbl>
    <w:p>
      <w:pPr>
        <w:spacing w:after="0" w:befor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60"/>
        <w:gridCol w:w="4466"/>
      </w:tblGrid>
      <w:tr>
        <w:tc>
          <w:tcPr>
            <w:tcBorders>
              <w:top w:val="none" w:color="FFFFFF" w:sz="0"/>
              <w:left w:val="none" w:color="FFFFFF" w:sz="0"/>
              <w:bottom w:val="none" w:color="FFFFFF" w:sz="0"/>
              <w:right w:val="none" w:color="FFFFFF" w:sz="0"/>
            </w:tcBorders>
            <w:shd w:fill="F4F6F9" w:val="clear"/>
            <w:tcMar>
              <w:top w:type="dxa" w:w="120"/>
              <w:left w:type="dxa" w:w="200"/>
              <w:bottom w:type="dxa" w:w="120"/>
              <w:right w:type="dxa" w:w="80"/>
            </w:tcMar>
          </w:tcPr>
          <w:p>
            <w:pPr>
              <w:spacing w:after="60" w:before="0"/>
            </w:pPr>
            <w:r>
              <w:rPr>
                <w:rFonts w:ascii="Arial" w:cs="Arial" w:eastAsia="Arial" w:hAnsi="Arial"/>
                <w:b/>
                <w:bCs/>
                <w:color w:val="666666"/>
                <w:sz w:val="17"/>
                <w:szCs w:val="17"/>
              </w:rPr>
              <w:t xml:space="preserve">Référence</w:t>
            </w:r>
          </w:p>
          <w:p>
            <w:pPr>
              <w:spacing w:after="80" w:before="0"/>
            </w:pPr>
            <w:r>
              <w:rPr>
                <w:rFonts w:ascii="Arial" w:cs="Arial" w:eastAsia="Arial" w:hAnsi="Arial"/>
                <w:b/>
                <w:bCs/>
                <w:color w:val="003087"/>
                <w:sz w:val="20"/>
                <w:szCs w:val="20"/>
              </w:rPr>
              <w:t xml:space="preserve">INC-PC-PROC-2026</w:t>
            </w:r>
          </w:p>
          <w:p>
            <w:pPr>
              <w:spacing w:after="60" w:before="60"/>
            </w:pPr>
            <w:r>
              <w:rPr>
                <w:rFonts w:ascii="Arial" w:cs="Arial" w:eastAsia="Arial" w:hAnsi="Arial"/>
                <w:b/>
                <w:bCs/>
                <w:color w:val="666666"/>
                <w:sz w:val="17"/>
                <w:szCs w:val="17"/>
              </w:rPr>
              <w:t xml:space="preserve">Rédacteur</w:t>
            </w:r>
          </w:p>
          <w:p>
            <w:r>
              <w:rPr>
                <w:rFonts w:ascii="Arial" w:cs="Arial" w:eastAsia="Arial" w:hAnsi="Arial"/>
                <w:sz w:val="18"/>
                <w:szCs w:val="18"/>
              </w:rPr>
              <w:t xml:space="preserve">ABIARI Nassim — Technicien de proximité</w:t>
            </w:r>
          </w:p>
        </w:tc>
        <w:tc>
          <w:tcPr>
            <w:tcW w:type="dxa" w:w="160"/>
            <w:tcBorders>
              <w:top w:val="none" w:color="FFFFFF" w:sz="0"/>
              <w:left w:val="none" w:color="FFFFFF" w:sz="0"/>
              <w:bottom w:val="none" w:color="FFFFFF" w:sz="0"/>
              <w:right w:val="none" w:color="FFFFFF" w:sz="0"/>
            </w:tcBorders>
            <w:shd w:fill="0055A4" w:val="clear"/>
          </w:tcPr>
          <w:p>
            <w:r>
              <w:t xml:space="preserve"/>
            </w:r>
          </w:p>
        </w:tc>
        <w:tc>
          <w:tcPr>
            <w:tcBorders>
              <w:top w:val="none" w:color="FFFFFF" w:sz="0"/>
              <w:left w:val="none" w:color="FFFFFF" w:sz="0"/>
              <w:bottom w:val="none" w:color="FFFFFF" w:sz="0"/>
              <w:right w:val="none" w:color="FFFFFF" w:sz="0"/>
            </w:tcBorders>
            <w:shd w:fill="F4F6F9" w:val="clear"/>
            <w:tcMar>
              <w:top w:type="dxa" w:w="120"/>
              <w:left w:type="dxa" w:w="200"/>
              <w:bottom w:type="dxa" w:w="120"/>
              <w:right w:type="dxa" w:w="80"/>
            </w:tcMar>
          </w:tcPr>
          <w:p>
            <w:pPr>
              <w:spacing w:after="60" w:before="0"/>
            </w:pPr>
            <w:r>
              <w:rPr>
                <w:rFonts w:ascii="Arial" w:cs="Arial" w:eastAsia="Arial" w:hAnsi="Arial"/>
                <w:b/>
                <w:bCs/>
                <w:color w:val="666666"/>
                <w:sz w:val="17"/>
                <w:szCs w:val="17"/>
              </w:rPr>
              <w:t xml:space="preserve">Date de création</w:t>
            </w:r>
          </w:p>
          <w:p>
            <w:pPr>
              <w:spacing w:after="80" w:before="0"/>
            </w:pPr>
            <w:r>
              <w:rPr>
                <w:rFonts w:ascii="Arial" w:cs="Arial" w:eastAsia="Arial" w:hAnsi="Arial"/>
                <w:b/>
                <w:bCs/>
                <w:color w:val="003087"/>
                <w:sz w:val="20"/>
                <w:szCs w:val="20"/>
              </w:rPr>
              <w:t xml:space="preserve">06 avril 2026</w:t>
            </w:r>
          </w:p>
          <w:p>
            <w:pPr>
              <w:spacing w:after="60" w:before="60"/>
            </w:pPr>
            <w:r>
              <w:rPr>
                <w:rFonts w:ascii="Arial" w:cs="Arial" w:eastAsia="Arial" w:hAnsi="Arial"/>
                <w:b/>
                <w:bCs/>
                <w:color w:val="666666"/>
                <w:sz w:val="17"/>
                <w:szCs w:val="17"/>
              </w:rPr>
              <w:t xml:space="preserve">Version</w:t>
            </w:r>
          </w:p>
          <w:p>
            <w:r>
              <w:rPr>
                <w:rFonts w:ascii="Arial" w:cs="Arial" w:eastAsia="Arial" w:hAnsi="Arial"/>
                <w:sz w:val="18"/>
                <w:szCs w:val="18"/>
              </w:rPr>
              <w:t xml:space="preserve">1.0 — Document initial</w:t>
            </w:r>
          </w:p>
        </w:tc>
      </w:tr>
    </w:tbl>
    <w:p>
      <w:r>
        <w:br w:type="page"/>
      </w:r>
    </w:p>
    <w:p>
      <w:pPr>
        <w:pStyle w:val="Heading1"/>
        <w:pBdr>
          <w:bottom w:val="single" w:color="0055A4" w:sz="4" w:space="4"/>
        </w:pBdr>
        <w:spacing w:after="160" w:before="360"/>
      </w:pPr>
      <w:r>
        <w:rPr>
          <w:rFonts w:ascii="Arial" w:cs="Arial" w:eastAsia="Arial" w:hAnsi="Arial"/>
          <w:b/>
          <w:bCs/>
          <w:color w:val="003087"/>
          <w:sz w:val="28"/>
          <w:szCs w:val="28"/>
        </w:rPr>
        <w:t xml:space="preserve">1. Contexte et Objectif</w:t>
      </w:r>
    </w:p>
    <w:p>
      <w:pPr>
        <w:spacing w:after="120" w:before="120"/>
      </w:pPr>
      <w:r>
        <w:rPr>
          <w:rFonts w:ascii="Arial" w:cs="Arial" w:eastAsia="Arial" w:hAnsi="Arial"/>
          <w:sz w:val="20"/>
          <w:szCs w:val="20"/>
        </w:rPr>
        <w:t xml:space="preserve">Dans le cadre de mes missions en tant que technicien de proximité à la Banque de France (DGSI), je suis amené à réceptionner des postes informatiques présentant des défaillances matérielles — notamment des écrans brisés, claviers hors service ou pannes hardware diverses.</w:t>
      </w:r>
    </w:p>
    <w:p>
      <w:pPr>
        <w:spacing w:after="160" w:before="0"/>
      </w:pPr>
      <w:r>
        <w:rPr>
          <w:rFonts w:ascii="Arial" w:cs="Arial" w:eastAsia="Arial" w:hAnsi="Arial"/>
          <w:sz w:val="20"/>
          <w:szCs w:val="20"/>
        </w:rPr>
        <w:t xml:space="preserve">La procédure décrite ci-dessous couvre l’ensemble du processus : de la réception du matériel défaillant jusqu’à son envoi au prestataire de réparation, en passant par la création du ticket dans l’outil BMC Remedy.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Outil de ticketing</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BMC Remedy — Banque de France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Type d’incident</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Restauration du service — Matériel défaillant</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Périmètre</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Postes de travail agents Banque de France (DGSI)</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Technicien</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ABIARI Nassim — Technicien de proximité</w:t>
            </w:r>
          </w:p>
        </w:tc>
      </w:tr>
    </w:tbl>
    <w:p>
      <w:pPr>
        <w:spacing w:after="0" w:before="60"/>
      </w:pPr>
      <w:r>
        <w:t xml:space="preserve"/>
      </w:r>
    </w:p>
    <w:p>
      <w:pPr>
        <w:spacing w:after="0" w:before="320"/>
      </w:pPr>
      <w:r>
        <w:t xml:space="preserve"/>
      </w:r>
    </w:p>
    <w:p>
      <w:pPr>
        <w:jc w:val="center"/>
      </w:pPr>
      <w:r>
        <w:drawing>
          <wp:inline distT="0" distB="0" distL="0" distR="0">
            <wp:extent cx="5334000" cy="3562350"/>
            <wp:effectExtent t="0" r="0" b="0" l="0"/>
            <wp:docPr id="1" name="img1" descr="Reception PC defaillant" title="PC defail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62350"/>
                    </a:xfrm>
                    <a:prstGeom prst="rect">
                      <a:avLst/>
                    </a:prstGeom>
                  </pic:spPr>
                </pic:pic>
              </a:graphicData>
            </a:graphic>
          </wp:inline>
        </w:drawing>
      </w:r>
    </w:p>
    <w:p>
      <w:pPr>
        <w:spacing w:after="200" w:before="80"/>
        <w:jc w:val="center"/>
      </w:pPr>
      <w:r>
        <w:rPr>
          <w:rFonts w:ascii="Arial" w:cs="Arial" w:eastAsia="Arial" w:hAnsi="Arial"/>
          <w:i/>
          <w:iCs/>
          <w:color w:val="666666"/>
          <w:sz w:val="16"/>
          <w:szCs w:val="16"/>
        </w:rPr>
        <w:t xml:space="preserve">Figure 1 — Réception d’un poste défaillant (écran brisé) sur le bureau du technicien</w:t>
      </w:r>
    </w:p>
    <w:p>
      <w:r>
        <w:br w:type="page"/>
      </w:r>
    </w:p>
    <w:p>
      <w:pPr>
        <w:pStyle w:val="Heading1"/>
        <w:pBdr>
          <w:bottom w:val="single" w:color="0055A4" w:sz="4" w:space="4"/>
        </w:pBdr>
        <w:spacing w:after="160" w:before="360"/>
      </w:pPr>
      <w:r>
        <w:rPr>
          <w:rFonts w:ascii="Arial" w:cs="Arial" w:eastAsia="Arial" w:hAnsi="Arial"/>
          <w:b/>
          <w:bCs/>
          <w:color w:val="003087"/>
          <w:sz w:val="28"/>
          <w:szCs w:val="28"/>
        </w:rPr>
        <w:t xml:space="preserve">2. Vue d’ensemble du processus</w:t>
      </w:r>
    </w:p>
    <w:p>
      <w:pPr>
        <w:spacing w:after="160" w:before="120"/>
      </w:pPr>
      <w:r>
        <w:rPr>
          <w:rFonts w:ascii="Arial" w:cs="Arial" w:eastAsia="Arial" w:hAnsi="Arial"/>
          <w:sz w:val="20"/>
          <w:szCs w:val="20"/>
        </w:rPr>
        <w:t xml:space="preserve">Le traitement d’un incident matériel PC suit les 4 étapes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100"/>
        <w:gridCol w:w="1326"/>
      </w:tblGrid>
      <w:tr>
        <w:tc>
          <w:tcPr>
            <w:tcBorders>
              <w:top w:val="none" w:color="FFFFFF" w:sz="0"/>
              <w:left w:val="none" w:color="FFFFFF" w:sz="0"/>
              <w:bottom w:val="none" w:color="FFFFFF" w:sz="0"/>
              <w:right w:val="none" w:color="FFFFFF" w:sz="0"/>
            </w:tcBorders>
            <w:shd w:fill="003087"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w:t>
            </w:r>
          </w:p>
        </w:tc>
        <w:tc>
          <w:tcPr>
            <w:tcBorders>
              <w:top w:val="none" w:color="FFFFFF" w:sz="0"/>
              <w:left w:val="none" w:color="FFFFFF" w:sz="0"/>
              <w:bottom w:val="none" w:color="FFFFFF" w:sz="0"/>
              <w:right w:val="none" w:color="FFFFFF" w:sz="0"/>
            </w:tcBorders>
            <w:shd w:fill="003087" w:val="clear"/>
            <w:tcMar>
              <w:top w:type="dxa" w:w="80"/>
              <w:left w:type="dxa" w:w="80"/>
              <w:bottom w:type="dxa" w:w="80"/>
              <w:right w:type="dxa" w:w="80"/>
            </w:tcMar>
          </w:tcPr>
          <w:p>
            <w:r>
              <w:rPr>
                <w:rFonts w:ascii="Arial" w:cs="Arial" w:eastAsia="Arial" w:hAnsi="Arial"/>
                <w:b/>
                <w:bCs/>
                <w:color w:val="FFFFFF"/>
                <w:sz w:val="18"/>
                <w:szCs w:val="18"/>
              </w:rPr>
              <w:t xml:space="preserve">Étape</w:t>
            </w:r>
          </w:p>
        </w:tc>
        <w:tc>
          <w:tcPr>
            <w:tcBorders>
              <w:top w:val="none" w:color="FFFFFF" w:sz="0"/>
              <w:left w:val="none" w:color="FFFFFF" w:sz="0"/>
              <w:bottom w:val="none" w:color="FFFFFF" w:sz="0"/>
              <w:right w:val="none" w:color="FFFFFF" w:sz="0"/>
            </w:tcBorders>
            <w:shd w:fill="003087" w:val="clear"/>
            <w:tcMar>
              <w:top w:type="dxa" w:w="80"/>
              <w:left w:type="dxa" w:w="80"/>
              <w:bottom w:type="dxa" w:w="80"/>
              <w:right w:type="dxa" w:w="80"/>
            </w:tcMar>
          </w:tcPr>
          <w:p>
            <w:r>
              <w:rPr>
                <w:rFonts w:ascii="Arial" w:cs="Arial" w:eastAsia="Arial" w:hAnsi="Arial"/>
                <w:b/>
                <w:bCs/>
                <w:color w:val="FFFFFF"/>
                <w:sz w:val="18"/>
                <w:szCs w:val="18"/>
              </w:rPr>
              <w:t xml:space="preserve">Description</w:t>
            </w:r>
          </w:p>
        </w:tc>
        <w:tc>
          <w:tcPr>
            <w:tcBorders>
              <w:top w:val="none" w:color="FFFFFF" w:sz="0"/>
              <w:left w:val="none" w:color="FFFFFF" w:sz="0"/>
              <w:bottom w:val="none" w:color="FFFFFF" w:sz="0"/>
              <w:right w:val="none" w:color="FFFFFF" w:sz="0"/>
            </w:tcBorders>
            <w:shd w:fill="003087" w:val="clear"/>
            <w:tcMar>
              <w:top w:type="dxa" w:w="80"/>
              <w:left w:type="dxa" w:w="80"/>
              <w:bottom w:type="dxa" w:w="80"/>
              <w:right w:type="dxa" w:w="80"/>
            </w:tcMar>
          </w:tcPr>
          <w:p>
            <w:r>
              <w:rPr>
                <w:rFonts w:ascii="Arial" w:cs="Arial" w:eastAsia="Arial" w:hAnsi="Arial"/>
                <w:b/>
                <w:bCs/>
                <w:color w:val="FFFFFF"/>
                <w:sz w:val="18"/>
                <w:szCs w:val="18"/>
              </w:rPr>
              <w:t xml:space="preserve">Outil</w:t>
            </w:r>
          </w:p>
        </w:tc>
      </w:tr>
      <w:tr>
        <w:tc>
          <w:tcPr>
            <w:tcW w:type="dxa" w:w="60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pPr>
              <w:jc w:val="center"/>
            </w:pPr>
            <w:r>
              <w:rPr>
                <w:rFonts w:ascii="Arial" w:cs="Arial" w:eastAsia="Arial" w:hAnsi="Arial"/>
                <w:b/>
                <w:bCs/>
                <w:color w:val="0055A4"/>
                <w:sz w:val="18"/>
                <w:szCs w:val="18"/>
              </w:rPr>
              <w:t xml:space="preserve">1</w:t>
            </w:r>
          </w:p>
        </w:tc>
        <w:tc>
          <w:tcPr>
            <w:tcW w:type="dxa" w:w="200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b/>
                <w:bCs/>
                <w:sz w:val="18"/>
                <w:szCs w:val="18"/>
              </w:rPr>
              <w:t xml:space="preserve">Réception</w:t>
            </w:r>
          </w:p>
        </w:tc>
        <w:tc>
          <w:tcPr>
            <w:tcW w:type="dxa" w:w="510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Réception du PC défaillant et constat de la panne</w:t>
            </w:r>
          </w:p>
        </w:tc>
        <w:tc>
          <w:tcPr>
            <w:tcW w:type="dxa" w:w="1326"/>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i/>
                <w:iCs/>
                <w:sz w:val="16"/>
                <w:szCs w:val="16"/>
              </w:rPr>
              <w:t xml:space="preserve">Visuel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055A4"/>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Ticketing</w:t>
            </w:r>
          </w:p>
        </w:tc>
        <w:tc>
          <w:tcPr>
            <w:tcW w:type="dxa" w:w="5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Création du ticket dans BMC Remedy avec toutes les informations</w:t>
            </w:r>
          </w:p>
        </w:tc>
        <w:tc>
          <w:tcPr>
            <w:tcW w:type="dxa" w:w="13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sz w:val="16"/>
                <w:szCs w:val="16"/>
              </w:rPr>
              <w:t xml:space="preserve">BMC Remedy</w:t>
            </w:r>
          </w:p>
        </w:tc>
      </w:tr>
      <w:tr>
        <w:tc>
          <w:tcPr>
            <w:tcW w:type="dxa" w:w="60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pPr>
              <w:jc w:val="center"/>
            </w:pPr>
            <w:r>
              <w:rPr>
                <w:rFonts w:ascii="Arial" w:cs="Arial" w:eastAsia="Arial" w:hAnsi="Arial"/>
                <w:b/>
                <w:bCs/>
                <w:color w:val="0055A4"/>
                <w:sz w:val="18"/>
                <w:szCs w:val="18"/>
              </w:rPr>
              <w:t xml:space="preserve">3</w:t>
            </w:r>
          </w:p>
        </w:tc>
        <w:tc>
          <w:tcPr>
            <w:tcW w:type="dxa" w:w="200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b/>
                <w:bCs/>
                <w:sz w:val="18"/>
                <w:szCs w:val="18"/>
              </w:rPr>
              <w:t xml:space="preserve">Email</w:t>
            </w:r>
          </w:p>
        </w:tc>
        <w:tc>
          <w:tcPr>
            <w:tcW w:type="dxa" w:w="510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Réception de l’email d’autorisation d’envoi</w:t>
            </w:r>
          </w:p>
        </w:tc>
        <w:tc>
          <w:tcPr>
            <w:tcW w:type="dxa" w:w="1326"/>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i/>
                <w:iCs/>
                <w:sz w:val="16"/>
                <w:szCs w:val="16"/>
              </w:rPr>
              <w:t xml:space="preserve">Messagerie BdF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055A4"/>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Emballage</w:t>
            </w:r>
          </w:p>
        </w:tc>
        <w:tc>
          <w:tcPr>
            <w:tcW w:type="dxa" w:w="5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Emballage et envoi au prestataire avec bon de transport</w:t>
            </w:r>
          </w:p>
        </w:tc>
        <w:tc>
          <w:tcPr>
            <w:tcW w:type="dxa" w:w="13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sz w:val="16"/>
                <w:szCs w:val="16"/>
              </w:rPr>
              <w:t xml:space="preserve">DHL / Chronopost</w:t>
            </w:r>
          </w:p>
        </w:tc>
      </w:tr>
    </w:tbl>
    <w:p>
      <w:r>
        <w:br w:type="page"/>
      </w:r>
    </w:p>
    <w:p>
      <w:pPr>
        <w:pStyle w:val="Heading1"/>
        <w:pBdr>
          <w:bottom w:val="single" w:color="0055A4" w:sz="4" w:space="4"/>
        </w:pBdr>
        <w:spacing w:after="160" w:before="360"/>
      </w:pPr>
      <w:r>
        <w:rPr>
          <w:rFonts w:ascii="Arial" w:cs="Arial" w:eastAsia="Arial" w:hAnsi="Arial"/>
          <w:b/>
          <w:bCs/>
          <w:color w:val="003087"/>
          <w:sz w:val="28"/>
          <w:szCs w:val="28"/>
        </w:rPr>
        <w:t xml:space="preserve">3. Détail des étapes</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003087"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ETAPE 1</w:t>
            </w:r>
          </w:p>
        </w:tc>
        <w:tc>
          <w:tcPr>
            <w:tcW w:type="dxa" w:w="8326"/>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A1A2E"/>
                <w:sz w:val="22"/>
                <w:szCs w:val="22"/>
              </w:rPr>
              <w:t xml:space="preserve">Réception et constat de la défaillance matérielle</w:t>
            </w:r>
          </w:p>
        </w:tc>
      </w:tr>
    </w:tbl>
    <w:p>
      <w:pPr>
        <w:spacing w:after="0" w:before="200"/>
      </w:pPr>
      <w:r>
        <w:t xml:space="preserve"/>
      </w:r>
    </w:p>
    <w:p>
      <w:pPr>
        <w:spacing w:after="80" w:before="0"/>
      </w:pPr>
      <w:r>
        <w:rPr>
          <w:rFonts w:ascii="Arial" w:cs="Arial" w:eastAsia="Arial" w:hAnsi="Arial"/>
          <w:sz w:val="20"/>
          <w:szCs w:val="20"/>
        </w:rPr>
        <w:t xml:space="preserve">Lors de la réception d’un poste défaillant, le technicien effectue les vérifications suivantes :</w:t>
      </w:r>
    </w:p>
    <w:p>
      <w:pPr>
        <w:pStyle w:val="ListParagraph"/>
        <w:numPr>
          <w:ilvl w:val="0"/>
          <w:numId w:val="2"/>
        </w:numPr>
        <w:spacing w:after="40" w:before="40"/>
      </w:pPr>
      <w:r>
        <w:rPr>
          <w:rFonts w:ascii="Arial" w:cs="Arial" w:eastAsia="Arial" w:hAnsi="Arial"/>
          <w:sz w:val="19"/>
          <w:szCs w:val="19"/>
        </w:rPr>
        <w:t xml:space="preserve">Identification du poste : numéro d’inventaire, modèle, utilisateur concerné</w:t>
      </w:r>
    </w:p>
    <w:p>
      <w:pPr>
        <w:pStyle w:val="ListParagraph"/>
        <w:numPr>
          <w:ilvl w:val="0"/>
          <w:numId w:val="2"/>
        </w:numPr>
        <w:spacing w:after="40" w:before="40"/>
      </w:pPr>
      <w:r>
        <w:rPr>
          <w:rFonts w:ascii="Arial" w:cs="Arial" w:eastAsia="Arial" w:hAnsi="Arial"/>
          <w:sz w:val="19"/>
          <w:szCs w:val="19"/>
        </w:rPr>
        <w:t xml:space="preserve">Constat visuel de la panne : type de défaillance (écran cassé, clavier, batterie…)</w:t>
      </w:r>
    </w:p>
    <w:p>
      <w:pPr>
        <w:pStyle w:val="ListParagraph"/>
        <w:numPr>
          <w:ilvl w:val="0"/>
          <w:numId w:val="2"/>
        </w:numPr>
        <w:spacing w:after="40" w:before="40"/>
      </w:pPr>
      <w:r>
        <w:rPr>
          <w:rFonts w:ascii="Arial" w:cs="Arial" w:eastAsia="Arial" w:hAnsi="Arial"/>
          <w:sz w:val="19"/>
          <w:szCs w:val="19"/>
        </w:rPr>
        <w:t xml:space="preserve">Vérification que le poste nécessite un envoi prestataire</w:t>
      </w:r>
    </w:p>
    <w:p>
      <w:pPr>
        <w:pStyle w:val="ListParagraph"/>
        <w:numPr>
          <w:ilvl w:val="0"/>
          <w:numId w:val="2"/>
        </w:numPr>
        <w:spacing w:after="40" w:before="40"/>
      </w:pPr>
      <w:r>
        <w:rPr>
          <w:rFonts w:ascii="Arial" w:cs="Arial" w:eastAsia="Arial" w:hAnsi="Arial"/>
          <w:sz w:val="19"/>
          <w:szCs w:val="19"/>
        </w:rPr>
        <w:t xml:space="preserve">Récupération des données si nécessaire avant envoi</w:t>
      </w:r>
    </w:p>
    <w:p>
      <w:pPr>
        <w:spacing w:after="0" w:befor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A6B3A"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ETAPE 2</w:t>
            </w:r>
          </w:p>
        </w:tc>
        <w:tc>
          <w:tcPr>
            <w:tcW w:type="dxa" w:w="8326"/>
            <w:tcBorders>
              <w:top w:val="none" w:color="FFFFFF" w:sz="0"/>
              <w:left w:val="none" w:color="FFFFFF" w:sz="0"/>
              <w:bottom w:val="none" w:color="FFFFFF" w:sz="0"/>
              <w:right w:val="none" w:color="FFFFFF" w:sz="0"/>
            </w:tcBorders>
            <w:shd w:fill="E8F5EE" w:val="clear"/>
            <w:tcMar>
              <w:top w:type="dxa" w:w="120"/>
              <w:left w:type="dxa" w:w="200"/>
              <w:bottom w:type="dxa" w:w="120"/>
              <w:right w:type="dxa" w:w="120"/>
            </w:tcMar>
          </w:tcPr>
          <w:p>
            <w:r>
              <w:rPr>
                <w:rFonts w:ascii="Arial" w:cs="Arial" w:eastAsia="Arial" w:hAnsi="Arial"/>
                <w:b/>
                <w:bCs/>
                <w:color w:val="1A1A2E"/>
                <w:sz w:val="22"/>
                <w:szCs w:val="22"/>
              </w:rPr>
              <w:t xml:space="preserve">Création du ticket dans BMC Remedy</w:t>
            </w:r>
          </w:p>
        </w:tc>
      </w:tr>
    </w:tbl>
    <w:p>
      <w:pPr>
        <w:spacing w:after="0" w:before="200"/>
      </w:pPr>
      <w:r>
        <w:t xml:space="preserve"/>
      </w:r>
    </w:p>
    <w:p>
      <w:pPr>
        <w:spacing w:after="100" w:before="0"/>
      </w:pPr>
      <w:r>
        <w:rPr>
          <w:rFonts w:ascii="Arial" w:cs="Arial" w:eastAsia="Arial" w:hAnsi="Arial"/>
          <w:sz w:val="20"/>
          <w:szCs w:val="20"/>
        </w:rPr>
        <w:t xml:space="preserve">BMC Remedy est l’outil de gestion des tickets d’incident utilisé à la Banque de France. La création du ticket se fait en plusieurs écrans successifs :</w:t>
      </w:r>
    </w:p>
    <w:p>
      <w:pPr>
        <w:jc w:val="center"/>
      </w:pPr>
      <w:r>
        <w:drawing>
          <wp:inline distT="0" distB="0" distL="0" distR="0">
            <wp:extent cx="5334000" cy="3562350"/>
            <wp:effectExtent t="0" r="0" b="0" l="0"/>
            <wp:docPr id="1" name="sc1" descr="BMC Remedy client info" title="BMC Remedy scre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62350"/>
                    </a:xfrm>
                    <a:prstGeom prst="rect">
                      <a:avLst/>
                    </a:prstGeom>
                  </pic:spPr>
                </pic:pic>
              </a:graphicData>
            </a:graphic>
          </wp:inline>
        </w:drawing>
      </w:r>
    </w:p>
    <w:p>
      <w:pPr>
        <w:spacing w:after="100" w:before="60"/>
        <w:jc w:val="center"/>
      </w:pPr>
      <w:r>
        <w:rPr>
          <w:rFonts w:ascii="Arial" w:cs="Arial" w:eastAsia="Arial" w:hAnsi="Arial"/>
          <w:i/>
          <w:iCs/>
          <w:color w:val="666666"/>
          <w:sz w:val="16"/>
          <w:szCs w:val="16"/>
        </w:rPr>
        <w:t xml:space="preserve">Capture 1 — Saisie des informations client : nom, société (BDF), entité (DGSI), email, région</w:t>
      </w:r>
    </w:p>
    <w:p>
      <w:pPr>
        <w:spacing w:after="60" w:before="60"/>
      </w:pPr>
      <w:r>
        <w:rPr>
          <w:rFonts w:ascii="Arial" w:cs="Arial" w:eastAsia="Arial" w:hAnsi="Arial"/>
          <w:b/>
          <w:bCs/>
          <w:sz w:val="19"/>
          <w:szCs w:val="19"/>
        </w:rPr>
        <w:t xml:space="preserve">Champs obligatoires étape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Client</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Nom de l’agent concerné (ex : Mathis ABDOUL)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Société</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BDF — Banque de France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Entité</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DGSI (1085)</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Catégorie opérationnelle</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Informatique individuel</w:t>
            </w:r>
          </w:p>
        </w:tc>
      </w:tr>
    </w:tbl>
    <w:p>
      <w:pPr>
        <w:spacing w:after="0" w:before="60"/>
      </w:pPr>
      <w:r>
        <w:t xml:space="preserve"/>
      </w:r>
    </w:p>
    <w:p>
      <w:pPr>
        <w:spacing w:after="0" w:before="280"/>
      </w:pPr>
      <w:r>
        <w:t xml:space="preserve"/>
      </w:r>
    </w:p>
    <w:p>
      <w:pPr>
        <w:jc w:val="center"/>
      </w:pPr>
      <w:r>
        <w:drawing>
          <wp:inline distT="0" distB="0" distL="0" distR="0">
            <wp:extent cx="5334000" cy="3562350"/>
            <wp:effectExtent t="0" r="0" b="0" l="0"/>
            <wp:docPr id="1" name="sc2" descr="BMC Remedy details incident" title="BMC Remedy scre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62350"/>
                    </a:xfrm>
                    <a:prstGeom prst="rect">
                      <a:avLst/>
                    </a:prstGeom>
                  </pic:spPr>
                </pic:pic>
              </a:graphicData>
            </a:graphic>
          </wp:inline>
        </w:drawing>
      </w:r>
    </w:p>
    <w:p>
      <w:pPr>
        <w:spacing w:after="100" w:before="60"/>
        <w:jc w:val="center"/>
      </w:pPr>
      <w:r>
        <w:rPr>
          <w:rFonts w:ascii="Arial" w:cs="Arial" w:eastAsia="Arial" w:hAnsi="Arial"/>
          <w:i/>
          <w:iCs/>
          <w:color w:val="666666"/>
          <w:sz w:val="16"/>
          <w:szCs w:val="16"/>
        </w:rPr>
        <w:t xml:space="preserve">Capture 2 — Type d’incident, cause, catégorie de résolution et date de résolution prévue</w:t>
      </w:r>
    </w:p>
    <w:p>
      <w:pPr>
        <w:spacing w:after="60" w:before="60"/>
      </w:pPr>
      <w:r>
        <w:rPr>
          <w:rFonts w:ascii="Arial" w:cs="Arial" w:eastAsia="Arial" w:hAnsi="Arial"/>
          <w:b/>
          <w:bCs/>
          <w:sz w:val="19"/>
          <w:szCs w:val="19"/>
        </w:rPr>
        <w:t xml:space="preserve">Champs obligatoires étape 2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Type d’incident</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Restauration du service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Catégorie résolution</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Remplacement matériel / envoi réparation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Date/heure résolution</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Estimée selon le délai prestataire</w:t>
            </w:r>
          </w:p>
        </w:tc>
      </w:tr>
    </w:tbl>
    <w:p>
      <w:pPr>
        <w:spacing w:after="0" w:before="60"/>
      </w:pPr>
      <w:r>
        <w:t xml:space="preserve"/>
      </w:r>
    </w:p>
    <w:p>
      <w:pPr>
        <w:spacing w:after="0" w:before="280"/>
      </w:pPr>
      <w:r>
        <w:t xml:space="preserve"/>
      </w:r>
    </w:p>
    <w:p>
      <w:pPr>
        <w:jc w:val="center"/>
      </w:pPr>
      <w:r>
        <w:drawing>
          <wp:inline distT="0" distB="0" distL="0" distR="0">
            <wp:extent cx="5334000" cy="3562350"/>
            <wp:effectExtent t="0" r="0" b="0" l="0"/>
            <wp:docPr id="1" name="sc3" descr="BMC Remedy description" title="BMC Remedy scre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62350"/>
                    </a:xfrm>
                    <a:prstGeom prst="rect">
                      <a:avLst/>
                    </a:prstGeom>
                  </pic:spPr>
                </pic:pic>
              </a:graphicData>
            </a:graphic>
          </wp:inline>
        </w:drawing>
      </w:r>
    </w:p>
    <w:p>
      <w:pPr>
        <w:spacing w:after="100" w:before="60"/>
        <w:jc w:val="center"/>
      </w:pPr>
      <w:r>
        <w:rPr>
          <w:rFonts w:ascii="Arial" w:cs="Arial" w:eastAsia="Arial" w:hAnsi="Arial"/>
          <w:i/>
          <w:iCs/>
          <w:color w:val="666666"/>
          <w:sz w:val="16"/>
          <w:szCs w:val="16"/>
        </w:rPr>
        <w:t xml:space="preserve">Capture 3 — Description de l’incident, troubleshooting effectué et informations pour le niveau 2</w:t>
      </w:r>
    </w:p>
    <w:p>
      <w:pPr>
        <w:spacing w:after="60" w:before="60"/>
      </w:pPr>
      <w:r>
        <w:rPr>
          <w:rFonts w:ascii="Arial" w:cs="Arial" w:eastAsia="Arial" w:hAnsi="Arial"/>
          <w:b/>
          <w:bCs/>
          <w:sz w:val="19"/>
          <w:szCs w:val="19"/>
        </w:rPr>
        <w:t xml:space="preserve">Champs obligatoires étape 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Description</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Résumé : panne constatée, matériel concerné</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Troubleshooting</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Actions déjà réalisées : test écran externe, redémarrage…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Info pour le N2</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Contexte pour escalade si nécessaire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Canal de signalement</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Créé par l’utilisateur ou le technicien</w:t>
            </w:r>
          </w:p>
        </w:tc>
      </w:tr>
    </w:tbl>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7B3F00"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ETAPE 3</w:t>
            </w:r>
          </w:p>
        </w:tc>
        <w:tc>
          <w:tcPr>
            <w:tcW w:type="dxa" w:w="8326"/>
            <w:tcBorders>
              <w:top w:val="none" w:color="FFFFFF" w:sz="0"/>
              <w:left w:val="none" w:color="FFFFFF" w:sz="0"/>
              <w:bottom w:val="none" w:color="FFFFFF" w:sz="0"/>
              <w:right w:val="none" w:color="FFFFFF" w:sz="0"/>
            </w:tcBorders>
            <w:shd w:fill="FFF3E0" w:val="clear"/>
            <w:tcMar>
              <w:top w:type="dxa" w:w="120"/>
              <w:left w:type="dxa" w:w="200"/>
              <w:bottom w:type="dxa" w:w="120"/>
              <w:right w:type="dxa" w:w="120"/>
            </w:tcMar>
          </w:tcPr>
          <w:p>
            <w:r>
              <w:rPr>
                <w:rFonts w:ascii="Arial" w:cs="Arial" w:eastAsia="Arial" w:hAnsi="Arial"/>
                <w:b/>
                <w:bCs/>
                <w:color w:val="1A1A2E"/>
                <w:sz w:val="22"/>
                <w:szCs w:val="22"/>
              </w:rPr>
              <w:t xml:space="preserve">Réception de l’email d’autorisation d’envoi</w:t>
            </w:r>
          </w:p>
        </w:tc>
      </w:tr>
    </w:tbl>
    <w:p>
      <w:pPr>
        <w:spacing w:after="0" w:before="200"/>
      </w:pPr>
      <w:r>
        <w:t xml:space="preserve"/>
      </w:r>
    </w:p>
    <w:p>
      <w:pPr>
        <w:spacing w:after="120" w:before="0"/>
      </w:pPr>
      <w:r>
        <w:rPr>
          <w:rFonts w:ascii="Arial" w:cs="Arial" w:eastAsia="Arial" w:hAnsi="Arial"/>
          <w:sz w:val="20"/>
          <w:szCs w:val="20"/>
        </w:rPr>
        <w:t xml:space="preserve">Après validation du ticket par le service Help Desk, un email de confirmation est reçu autorisant formellement l’envoi du matériel au prestataire de réparation. Cet email contient toutes les informations logistiques nécessaires à l’expédition.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Expéditeur</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helpdesk-materiel@banque-france.fr</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Objet</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[INC-XXXX] Autorisation envoi réparation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003087" w:val="clear"/>
            <w:tcMar>
              <w:top w:type="dxa" w:w="80"/>
              <w:left w:type="dxa" w:w="140"/>
              <w:bottom w:type="dxa" w:w="80"/>
              <w:right w:type="dxa" w:w="80"/>
            </w:tcMar>
          </w:tcPr>
          <w:p>
            <w:r>
              <w:rPr>
                <w:rFonts w:ascii="Arial" w:cs="Arial" w:eastAsia="Arial" w:hAnsi="Arial"/>
                <w:b/>
                <w:bCs/>
                <w:color w:val="FFFFFF"/>
                <w:sz w:val="18"/>
                <w:szCs w:val="18"/>
              </w:rPr>
              <w:t xml:space="preserve">Contenu</w:t>
            </w:r>
          </w:p>
        </w:tc>
        <w:tc>
          <w:tcPr>
            <w:tcW w:type="dxa" w:w="6526"/>
            <w:tcBorders>
              <w:top w:val="none" w:color="FFFFFF" w:sz="0"/>
              <w:left w:val="none" w:color="FFFFFF" w:sz="0"/>
              <w:bottom w:val="none" w:color="FFFFFF" w:sz="0"/>
              <w:right w:val="none" w:color="FFFFFF" w:sz="0"/>
            </w:tcBorders>
            <w:shd w:fill="F4F6F9" w:val="clear"/>
            <w:tcMar>
              <w:top w:type="dxa" w:w="80"/>
              <w:left w:type="dxa" w:w="140"/>
              <w:bottom w:type="dxa" w:w="80"/>
              <w:right w:type="dxa" w:w="80"/>
            </w:tcMar>
          </w:tcPr>
          <w:p>
            <w:r>
              <w:rPr>
                <w:rFonts w:ascii="Arial" w:cs="Arial" w:eastAsia="Arial" w:hAnsi="Arial"/>
                <w:sz w:val="18"/>
                <w:szCs w:val="18"/>
              </w:rPr>
              <w:t xml:space="preserve">Prestataire, adresse, numéro de bon, délai estimé</w:t>
            </w:r>
          </w:p>
        </w:tc>
      </w:tr>
    </w:tbl>
    <w:p>
      <w:pPr>
        <w:spacing w:after="0" w:before="60"/>
      </w:pPr>
      <w:r>
        <w:t xml:space="preserve"/>
      </w:r>
    </w:p>
    <w:p>
      <w:pPr>
        <w:spacing w:after="0" w:befor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6B1818"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ETAPE 4</w:t>
            </w:r>
          </w:p>
        </w:tc>
        <w:tc>
          <w:tcPr>
            <w:tcW w:type="dxa" w:w="8326"/>
            <w:tcBorders>
              <w:top w:val="none" w:color="FFFFFF" w:sz="0"/>
              <w:left w:val="none" w:color="FFFFFF" w:sz="0"/>
              <w:bottom w:val="none" w:color="FFFFFF" w:sz="0"/>
              <w:right w:val="none" w:color="FFFFFF" w:sz="0"/>
            </w:tcBorders>
            <w:shd w:fill="FDEDED" w:val="clear"/>
            <w:tcMar>
              <w:top w:type="dxa" w:w="120"/>
              <w:left w:type="dxa" w:w="200"/>
              <w:bottom w:type="dxa" w:w="120"/>
              <w:right w:type="dxa" w:w="120"/>
            </w:tcMar>
          </w:tcPr>
          <w:p>
            <w:r>
              <w:rPr>
                <w:rFonts w:ascii="Arial" w:cs="Arial" w:eastAsia="Arial" w:hAnsi="Arial"/>
                <w:b/>
                <w:bCs/>
                <w:color w:val="1A1A2E"/>
                <w:sz w:val="22"/>
                <w:szCs w:val="22"/>
              </w:rPr>
              <w:t xml:space="preserve">Emballage et envoi du matériel</w:t>
            </w:r>
          </w:p>
        </w:tc>
      </w:tr>
    </w:tbl>
    <w:p>
      <w:pPr>
        <w:spacing w:after="0" w:before="200"/>
      </w:pPr>
      <w:r>
        <w:t xml:space="preserve"/>
      </w:r>
    </w:p>
    <w:p>
      <w:pPr>
        <w:spacing w:after="80" w:before="0"/>
      </w:pPr>
      <w:r>
        <w:rPr>
          <w:rFonts w:ascii="Arial" w:cs="Arial" w:eastAsia="Arial" w:hAnsi="Arial"/>
          <w:sz w:val="20"/>
          <w:szCs w:val="20"/>
        </w:rPr>
        <w:t xml:space="preserve">Une fois l’autorisation reçue, le technicien procède à l’emballage sécurisé du matériel :</w:t>
      </w:r>
    </w:p>
    <w:p>
      <w:pPr>
        <w:pStyle w:val="ListParagraph"/>
        <w:numPr>
          <w:ilvl w:val="0"/>
          <w:numId w:val="2"/>
        </w:numPr>
        <w:spacing w:after="40" w:before="40"/>
      </w:pPr>
      <w:r>
        <w:rPr>
          <w:rFonts w:ascii="Arial" w:cs="Arial" w:eastAsia="Arial" w:hAnsi="Arial"/>
          <w:sz w:val="19"/>
          <w:szCs w:val="19"/>
        </w:rPr>
        <w:t xml:space="preserve">Utiliser une boîte cartonnée adaptée à la taille du matériel</w:t>
      </w:r>
    </w:p>
    <w:p>
      <w:pPr>
        <w:pStyle w:val="ListParagraph"/>
        <w:numPr>
          <w:ilvl w:val="0"/>
          <w:numId w:val="2"/>
        </w:numPr>
        <w:spacing w:after="40" w:before="40"/>
      </w:pPr>
      <w:r>
        <w:rPr>
          <w:rFonts w:ascii="Arial" w:cs="Arial" w:eastAsia="Arial" w:hAnsi="Arial"/>
          <w:sz w:val="19"/>
          <w:szCs w:val="19"/>
        </w:rPr>
        <w:t xml:space="preserve">Protéger avec des mousses ou bulles d’air contre les chocs</w:t>
      </w:r>
    </w:p>
    <w:p>
      <w:pPr>
        <w:pStyle w:val="ListParagraph"/>
        <w:numPr>
          <w:ilvl w:val="0"/>
          <w:numId w:val="2"/>
        </w:numPr>
        <w:spacing w:after="40" w:before="40"/>
      </w:pPr>
      <w:r>
        <w:rPr>
          <w:rFonts w:ascii="Arial" w:cs="Arial" w:eastAsia="Arial" w:hAnsi="Arial"/>
          <w:sz w:val="19"/>
          <w:szCs w:val="19"/>
        </w:rPr>
        <w:t xml:space="preserve">Joindre le bon de transport imprimé depuis l’email de confirmation</w:t>
      </w:r>
    </w:p>
    <w:p>
      <w:pPr>
        <w:pStyle w:val="ListParagraph"/>
        <w:numPr>
          <w:ilvl w:val="0"/>
          <w:numId w:val="2"/>
        </w:numPr>
        <w:spacing w:after="40" w:before="40"/>
      </w:pPr>
      <w:r>
        <w:rPr>
          <w:rFonts w:ascii="Arial" w:cs="Arial" w:eastAsia="Arial" w:hAnsi="Arial"/>
          <w:sz w:val="19"/>
          <w:szCs w:val="19"/>
        </w:rPr>
        <w:t xml:space="preserve">Mentionner clairement la référence du ticket sur le colis</w:t>
      </w:r>
    </w:p>
    <w:p>
      <w:pPr>
        <w:pStyle w:val="ListParagraph"/>
        <w:numPr>
          <w:ilvl w:val="0"/>
          <w:numId w:val="2"/>
        </w:numPr>
        <w:spacing w:after="40" w:before="40"/>
      </w:pPr>
      <w:r>
        <w:rPr>
          <w:rFonts w:ascii="Arial" w:cs="Arial" w:eastAsia="Arial" w:hAnsi="Arial"/>
          <w:sz w:val="19"/>
          <w:szCs w:val="19"/>
        </w:rPr>
        <w:t xml:space="preserve">Apposer l’étiquette FRAGILE — Matériel informatique</w:t>
      </w:r>
    </w:p>
    <w:p>
      <w:pPr>
        <w:pStyle w:val="ListParagraph"/>
        <w:numPr>
          <w:ilvl w:val="0"/>
          <w:numId w:val="2"/>
        </w:numPr>
        <w:spacing w:after="40" w:before="40"/>
      </w:pPr>
      <w:r>
        <w:rPr>
          <w:rFonts w:ascii="Arial" w:cs="Arial" w:eastAsia="Arial" w:hAnsi="Arial"/>
          <w:sz w:val="19"/>
          <w:szCs w:val="19"/>
        </w:rPr>
        <w:t xml:space="preserve">Déposer au service courrier ou au transporteur désigné</w:t>
      </w:r>
    </w:p>
    <w:p>
      <w:pPr>
        <w:pStyle w:val="ListParagraph"/>
        <w:numPr>
          <w:ilvl w:val="0"/>
          <w:numId w:val="2"/>
        </w:numPr>
        <w:spacing w:after="40" w:before="40"/>
      </w:pPr>
      <w:r>
        <w:rPr>
          <w:rFonts w:ascii="Arial" w:cs="Arial" w:eastAsia="Arial" w:hAnsi="Arial"/>
          <w:sz w:val="19"/>
          <w:szCs w:val="19"/>
        </w:rPr>
        <w:t xml:space="preserve">Conserver le numéro de suivi et le reporter dans le ticket BMC Remedy</w:t>
      </w:r>
    </w:p>
    <w:p>
      <w:pPr>
        <w:spacing w:after="0" w:before="280"/>
      </w:pPr>
      <w:r>
        <w:t xml:space="preserve"/>
      </w:r>
    </w:p>
    <w:p>
      <w:pPr>
        <w:jc w:val="center"/>
      </w:pPr>
      <w:r>
        <w:drawing>
          <wp:inline distT="0" distB="0" distL="0" distR="0">
            <wp:extent cx="5524500" cy="3686175"/>
            <wp:effectExtent t="0" r="0" b="0" l="0"/>
            <wp:docPr id="1" name="img2" descr="Email autorisation et emballage colis" title="Email et emba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86175"/>
                    </a:xfrm>
                    <a:prstGeom prst="rect">
                      <a:avLst/>
                    </a:prstGeom>
                  </pic:spPr>
                </pic:pic>
              </a:graphicData>
            </a:graphic>
          </wp:inline>
        </w:drawing>
      </w:r>
    </w:p>
    <w:p>
      <w:pPr>
        <w:spacing w:after="200" w:before="80"/>
        <w:jc w:val="center"/>
      </w:pPr>
      <w:r>
        <w:rPr>
          <w:rFonts w:ascii="Arial" w:cs="Arial" w:eastAsia="Arial" w:hAnsi="Arial"/>
          <w:i/>
          <w:iCs/>
          <w:color w:val="666666"/>
          <w:sz w:val="16"/>
          <w:szCs w:val="16"/>
        </w:rPr>
        <w:t xml:space="preserve">Figure 2 — Email d’autorisation d’envoi (gauche) et emballage du matériel avec bon de transport (droite)</w:t>
      </w:r>
    </w:p>
    <w:p>
      <w:r>
        <w:br w:type="page"/>
      </w:r>
    </w:p>
    <w:p>
      <w:pPr>
        <w:pStyle w:val="Heading1"/>
        <w:pBdr>
          <w:bottom w:val="single" w:color="0055A4" w:sz="4" w:space="4"/>
        </w:pBdr>
        <w:spacing w:after="160" w:before="360"/>
      </w:pPr>
      <w:r>
        <w:rPr>
          <w:rFonts w:ascii="Arial" w:cs="Arial" w:eastAsia="Arial" w:hAnsi="Arial"/>
          <w:b/>
          <w:bCs/>
          <w:color w:val="003087"/>
          <w:sz w:val="28"/>
          <w:szCs w:val="28"/>
        </w:rPr>
        <w:t xml:space="preserve">4. Compétences BTS SIO validées</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26"/>
      </w:tblGrid>
      <w:tr>
        <w:tc>
          <w:tcPr>
            <w:tcW w:type="dxa" w:w="1200"/>
            <w:tcBorders>
              <w:top w:val="none" w:color="FFFFFF" w:sz="0"/>
              <w:left w:val="none" w:color="FFFFFF" w:sz="0"/>
              <w:bottom w:val="none" w:color="FFFFFF" w:sz="0"/>
              <w:right w:val="none" w:color="FFFFFF" w:sz="0"/>
            </w:tcBorders>
            <w:shd w:fill="003087" w:val="clear"/>
            <w:tcMar>
              <w:top w:type="dxa" w:w="80"/>
              <w:left w:type="dxa" w:w="100"/>
              <w:bottom w:type="dxa" w:w="80"/>
              <w:right w:type="dxa" w:w="80"/>
            </w:tcMar>
          </w:tcPr>
          <w:p>
            <w:r>
              <w:rPr>
                <w:rFonts w:ascii="Arial" w:cs="Arial" w:eastAsia="Arial" w:hAnsi="Arial"/>
                <w:b/>
                <w:bCs/>
                <w:color w:val="FFFFFF"/>
                <w:sz w:val="18"/>
                <w:szCs w:val="18"/>
              </w:rPr>
              <w:t xml:space="preserve">Compétence</w:t>
            </w:r>
          </w:p>
        </w:tc>
        <w:tc>
          <w:tcPr>
            <w:tcW w:type="dxa" w:w="3600"/>
            <w:tcBorders>
              <w:top w:val="none" w:color="FFFFFF" w:sz="0"/>
              <w:left w:val="none" w:color="FFFFFF" w:sz="0"/>
              <w:bottom w:val="none" w:color="FFFFFF" w:sz="0"/>
              <w:right w:val="none" w:color="FFFFFF" w:sz="0"/>
            </w:tcBorders>
            <w:shd w:fill="003087" w:val="clear"/>
            <w:tcMar>
              <w:top w:type="dxa" w:w="80"/>
              <w:left w:type="dxa" w:w="100"/>
              <w:bottom w:type="dxa" w:w="80"/>
              <w:right w:type="dxa" w:w="80"/>
            </w:tcMar>
          </w:tcPr>
          <w:p>
            <w:r>
              <w:rPr>
                <w:rFonts w:ascii="Arial" w:cs="Arial" w:eastAsia="Arial" w:hAnsi="Arial"/>
                <w:b/>
                <w:bCs/>
                <w:color w:val="FFFFFF"/>
                <w:sz w:val="18"/>
                <w:szCs w:val="18"/>
              </w:rPr>
              <w:t xml:space="preserve">Intitulé</w:t>
            </w:r>
          </w:p>
        </w:tc>
        <w:tc>
          <w:tcPr>
            <w:tcW w:type="dxa" w:w="4226"/>
            <w:tcBorders>
              <w:top w:val="none" w:color="FFFFFF" w:sz="0"/>
              <w:left w:val="none" w:color="FFFFFF" w:sz="0"/>
              <w:bottom w:val="none" w:color="FFFFFF" w:sz="0"/>
              <w:right w:val="none" w:color="FFFFFF" w:sz="0"/>
            </w:tcBorders>
            <w:shd w:fill="003087" w:val="clear"/>
            <w:tcMar>
              <w:top w:type="dxa" w:w="80"/>
              <w:left w:type="dxa" w:w="100"/>
              <w:bottom w:type="dxa" w:w="80"/>
              <w:right w:type="dxa" w:w="80"/>
            </w:tcMar>
          </w:tcPr>
          <w:p>
            <w:r>
              <w:rPr>
                <w:rFonts w:ascii="Arial" w:cs="Arial" w:eastAsia="Arial" w:hAnsi="Arial"/>
                <w:b/>
                <w:bCs/>
                <w:color w:val="FFFFFF"/>
                <w:sz w:val="18"/>
                <w:szCs w:val="18"/>
              </w:rPr>
              <w:t xml:space="preserve">Application dans ce projet</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b/>
                <w:bCs/>
                <w:color w:val="003087"/>
                <w:sz w:val="18"/>
                <w:szCs w:val="18"/>
              </w:rPr>
              <w:t xml:space="preserve">C1</w:t>
            </w:r>
          </w:p>
        </w:tc>
        <w:tc>
          <w:tcPr>
            <w:tcW w:type="dxa" w:w="3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sz w:val="18"/>
                <w:szCs w:val="18"/>
              </w:rPr>
              <w:t xml:space="preserve">Gérer le patrimoine informatique</w:t>
            </w:r>
          </w:p>
        </w:tc>
        <w:tc>
          <w:tcPr>
            <w:tcW w:type="dxa" w:w="4226"/>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sz w:val="18"/>
                <w:szCs w:val="18"/>
              </w:rPr>
              <w:t xml:space="preserve">Identification et suivi du matériel par numéro d’inventaire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003087"/>
                <w:sz w:val="18"/>
                <w:szCs w:val="18"/>
              </w:rPr>
              <w:t xml:space="preserve">C2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8"/>
                <w:szCs w:val="18"/>
              </w:rPr>
              <w:t xml:space="preserve">Répondre aux incidents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8"/>
                <w:szCs w:val="18"/>
              </w:rPr>
              <w:t xml:space="preserve">Création du ticket, troubleshooting, escalade et envoi en réparation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b/>
                <w:bCs/>
                <w:color w:val="003087"/>
                <w:sz w:val="18"/>
                <w:szCs w:val="18"/>
              </w:rPr>
              <w:t xml:space="preserve">C5</w:t>
            </w:r>
          </w:p>
        </w:tc>
        <w:tc>
          <w:tcPr>
            <w:tcW w:type="dxa" w:w="3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sz w:val="18"/>
                <w:szCs w:val="18"/>
              </w:rPr>
              <w:t xml:space="preserve">Mettre à disposition un service</w:t>
            </w:r>
          </w:p>
        </w:tc>
        <w:tc>
          <w:tcPr>
            <w:tcW w:type="dxa" w:w="4226"/>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sz w:val="18"/>
                <w:szCs w:val="18"/>
              </w:rPr>
              <w:t xml:space="preserve">Restauration du poste de travail de l’agent dans les meilleurs délais</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4A" w:sz="6"/>
              <w:left w:val="single" w:color="1A7A4A" w:sz="16"/>
              <w:bottom w:val="single" w:color="1A7A4A" w:sz="6"/>
              <w:right w:val="none" w:color="FFFFFF" w:sz="0"/>
            </w:tcBorders>
            <w:shd w:fill="E8F5EE" w:val="clear"/>
            <w:tcMar>
              <w:top w:type="dxa" w:w="160"/>
              <w:left w:type="dxa" w:w="260"/>
              <w:bottom w:type="dxa" w:w="160"/>
              <w:right w:type="dxa" w:w="160"/>
            </w:tcMar>
          </w:tcPr>
          <w:p>
            <w:pPr>
              <w:spacing w:after="80" w:before="0"/>
            </w:pPr>
            <w:r>
              <w:rPr>
                <w:rFonts w:ascii="Arial" w:cs="Arial" w:eastAsia="Arial" w:hAnsi="Arial"/>
                <w:b/>
                <w:bCs/>
                <w:color w:val="1A7A4A"/>
                <w:sz w:val="20"/>
                <w:szCs w:val="20"/>
              </w:rPr>
              <w:t xml:space="preserve">✓  Résultat attendu</w:t>
            </w:r>
          </w:p>
          <w:p>
            <w:r>
              <w:rPr>
                <w:rFonts w:ascii="Arial" w:cs="Arial" w:eastAsia="Arial" w:hAnsi="Arial"/>
                <w:color w:val="1A3A1A"/>
                <w:sz w:val="19"/>
                <w:szCs w:val="19"/>
              </w:rPr>
              <w:t xml:space="preserve">Le poste défaillant est correctement pris en charge, tracé dans l’outil BMC Remedy et expédié au prestataire dans les délais impartis. L’agent est informé du suivi et le ticket reste ouvert jusqu’à la restitution du matériel réparé.</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5A4" w:sz="4" w:space="4"/>
      </w:pBdr>
      <w:tabs>
        <w:tab w:val="right" w:pos="9026"/>
      </w:tabs>
    </w:pPr>
    <w:r>
      <w:rPr>
        <w:rFonts w:ascii="Arial" w:cs="Arial" w:eastAsia="Arial" w:hAnsi="Arial"/>
        <w:color w:val="888888"/>
        <w:sz w:val="14"/>
        <w:szCs w:val="14"/>
      </w:rPr>
      <w:t xml:space="preserve">INC-PC-2026  |  Technicien de proximité — N.ABIARI  |  Version 1.0</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5A4" w:sz="4" w:space="4"/>
      </w:pBdr>
      <w:tabs>
        <w:tab w:val="right" w:pos="9026"/>
      </w:tabs>
    </w:pPr>
    <w:r>
      <w:rPr>
        <w:rFonts w:ascii="Arial" w:cs="Arial" w:eastAsia="Arial" w:hAnsi="Arial"/>
        <w:color w:val="0055A4"/>
        <w:sz w:val="16"/>
        <w:szCs w:val="16"/>
      </w:rPr>
      <w:t xml:space="preserve">Banque de France — DGSI  |  Procédure de gestion d’incident matériel</w:t>
    </w:r>
    <w:r>
      <w:rPr>
        <w:sz w:val="16"/>
        <w:szCs w:val="16"/>
      </w:rPr>
      <w:t xml:space="preserve">	</w:t>
    </w:r>
    <w:r>
      <w:rPr>
        <w:rFonts w:ascii="Arial" w:cs="Arial" w:eastAsia="Arial" w:hAnsi="Arial"/>
        <w:b/>
        <w:bCs/>
        <w:color w:val="C0392B"/>
        <w:sz w:val="14"/>
        <w:szCs w:val="14"/>
      </w:rPr>
      <w:t xml:space="preserve">CONFIDENTIEL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0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b1fde8906fe3badb505c9852aab11147feea05.png"/><Relationship Id="rId10" Type="http://schemas.openxmlformats.org/officeDocument/2006/relationships/image" Target="media/b92dd9553dc61a10f0b868eb2558d7ef2fc38f7a.png"/><Relationship Id="rId11" Type="http://schemas.openxmlformats.org/officeDocument/2006/relationships/image" Target="media/9029b864a4d4f6ba9f9331a1acb0085711e45ca3.png"/><Relationship Id="rId12" Type="http://schemas.openxmlformats.org/officeDocument/2006/relationships/image" Target="media/1e185cd5894d2ee65bc5a0ebf03abc26bb5fce06.png"/><Relationship Id="rId13" Type="http://schemas.openxmlformats.org/officeDocument/2006/relationships/image" Target="media/3f312b745e37029dafb4f257944b20232e2c358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2026-04-06T15:10:45.107Z</dcterms:created>
  <dcterms:modified xsi:type="dcterms:W3CDTF">2026-04-06T15:10:45.108Z</dcterms:modified>
</cp:coreProperties>
</file>

<file path=docProps/custom.xml><?xml version="1.0" encoding="utf-8"?>
<Properties xmlns="http://schemas.openxmlformats.org/officeDocument/2006/custom-properties" xmlns:vt="http://schemas.openxmlformats.org/officeDocument/2006/docPropsVTypes"/>
</file>