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Pr>
      <w:tblGrid>
        <w:gridCol w:w="11906"/>
      </w:tblGrid>
      <w:tr>
        <w:trPr>
          <w:trHeight w:val="10000" w:hRule="exact"/>
        </w:trPr>
        <w:tc>
          <w:tcPr>
            <w:tcW w:type="dxa" w:w="11906"/>
            <w:tcBorders>
              <w:top w:val="none" w:color="FFFFFF" w:sz="0"/>
              <w:left w:val="none" w:color="FFFFFF" w:sz="0"/>
              <w:bottom w:val="none" w:color="FFFFFF" w:sz="0"/>
              <w:right w:val="none" w:color="FFFFFF" w:sz="0"/>
            </w:tcBorders>
            <w:shd w:fill="003087" w:val="clear"/>
            <w:vAlign w:val="center"/>
          </w:tcPr>
          <w:p>
            <w:pPr>
              <w:spacing w:after="200" w:before="200"/>
              <w:jc w:val="center"/>
            </w:pPr>
            <w:r>
              <w:rPr>
                <w:rFonts w:ascii="Arial" w:cs="Arial" w:eastAsia="Arial" w:hAnsi="Arial"/>
                <w:b/>
                <w:bCs/>
                <w:color w:val="FFFFFF"/>
                <w:sz w:val="40"/>
                <w:szCs w:val="40"/>
              </w:rPr>
              <w:t xml:space="preserve">BANQUE DE FRANCE</w:t>
            </w:r>
          </w:p>
          <w:p>
            <w:pPr>
              <w:spacing w:after="200" w:before="0"/>
              <w:jc w:val="center"/>
            </w:pPr>
            <w:r>
              <w:rPr>
                <w:rFonts w:ascii="Arial" w:cs="Arial" w:eastAsia="Arial" w:hAnsi="Arial"/>
                <w:color w:val="A9C4E8"/>
                <w:sz w:val="24"/>
                <w:szCs w:val="24"/>
              </w:rPr>
              <w:t xml:space="preserve">Direction Generale des Systemes d'Information</w:t>
            </w:r>
          </w:p>
          <w:p>
            <w:pPr>
              <w:spacing w:after="400" w:before="800"/>
              <w:jc w:val="center"/>
            </w:pPr>
            <w:r>
              <w:rPr>
                <w:rFonts w:ascii="Arial" w:cs="Arial" w:eastAsia="Arial" w:hAnsi="Arial"/>
                <w:b/>
                <w:bCs/>
                <w:color w:val="FFFFFF"/>
                <w:sz w:val="52"/>
                <w:szCs w:val="52"/>
              </w:rPr>
              <w:t xml:space="preserve">Procedure de gestion
des tickets Portsair</w:t>
            </w:r>
          </w:p>
          <w:p>
            <w:pPr>
              <w:spacing w:after="200" w:before="0"/>
              <w:jc w:val="center"/>
            </w:pPr>
            <w:r>
              <w:rPr>
                <w:rFonts w:ascii="Arial" w:cs="Arial" w:eastAsia="Arial" w:hAnsi="Arial"/>
                <w:color w:val="A9C4E8"/>
                <w:sz w:val="22"/>
                <w:szCs w:val="22"/>
              </w:rPr>
              <w:t xml:space="preserve">BDF-PROC-PORTSAIR-2025</w:t>
            </w:r>
          </w:p>
          <w:p>
            <w:pPr>
              <w:spacing w:after="100" w:before="600"/>
              <w:jc w:val="center"/>
            </w:pPr>
            <w:r>
              <w:rPr>
                <w:rFonts w:ascii="Arial" w:cs="Arial" w:eastAsia="Arial" w:hAnsi="Arial"/>
                <w:b/>
                <w:bCs/>
                <w:color w:val="FFD700"/>
                <w:sz w:val="26"/>
                <w:szCs w:val="26"/>
              </w:rPr>
              <w:t xml:space="preserve">CONFIDENTIEL INTERNE</w:t>
            </w:r>
          </w:p>
        </w:tc>
      </w:tr>
      <w:tr>
        <w:trPr>
          <w:trHeight w:val="3000" w:hRule="exact"/>
        </w:trPr>
        <w:tc>
          <w:tcPr>
            <w:tcW w:type="dxa" w:w="11906"/>
            <w:tcBorders>
              <w:top w:val="none" w:color="FFFFFF" w:sz="0"/>
              <w:left w:val="none" w:color="FFFFFF" w:sz="0"/>
              <w:bottom w:val="none" w:color="FFFFFF" w:sz="0"/>
              <w:right w:val="none" w:color="FFFFFF" w:sz="0"/>
            </w:tcBorders>
            <w:shd w:fill="F2F3F4" w:val="clear"/>
            <w:vAlign w:val="center"/>
          </w:tcPr>
          <w:p>
            <w:pPr>
              <w:spacing w:after="100" w:before="200"/>
              <w:jc w:val="center"/>
            </w:pPr>
            <w:r>
              <w:rPr>
                <w:rFonts w:ascii="Arial" w:cs="Arial" w:eastAsia="Arial" w:hAnsi="Arial"/>
                <w:b/>
                <w:bCs/>
                <w:color w:val="003087"/>
                <w:sz w:val="26"/>
                <w:szCs w:val="26"/>
              </w:rPr>
              <w:t xml:space="preserve">Nassim ABIARI</w:t>
            </w:r>
          </w:p>
          <w:p>
            <w:pPr>
              <w:spacing w:after="100" w:before="100"/>
              <w:jc w:val="center"/>
            </w:pPr>
            <w:r>
              <w:rPr>
                <w:rFonts w:ascii="Arial" w:cs="Arial" w:eastAsia="Arial" w:hAnsi="Arial"/>
                <w:color w:val="7F8C8D"/>
                <w:sz w:val="22"/>
                <w:szCs w:val="22"/>
              </w:rPr>
              <w:t xml:space="preserve">Technicien de proximite — DGSI</w:t>
            </w:r>
          </w:p>
          <w:p>
            <w:pPr>
              <w:spacing w:after="200" w:before="100"/>
              <w:jc w:val="center"/>
            </w:pPr>
            <w:r>
              <w:rPr>
                <w:rFonts w:ascii="Arial" w:cs="Arial" w:eastAsia="Arial" w:hAnsi="Arial"/>
                <w:color w:val="7F8C8D"/>
                <w:sz w:val="20"/>
                <w:szCs w:val="20"/>
              </w:rPr>
              <w:t xml:space="preserve">Annee 2024-2025 | BTS SIO option SISR</w:t>
            </w:r>
          </w:p>
        </w:tc>
      </w:tr>
      <w:tr>
        <w:trPr>
          <w:trHeight w:val="700" w:hRule="exact"/>
        </w:trPr>
        <w:tc>
          <w:tcPr>
            <w:tcW w:type="dxa" w:w="11906"/>
            <w:tcBorders>
              <w:top w:val="none" w:color="FFFFFF" w:sz="0"/>
              <w:left w:val="none" w:color="FFFFFF" w:sz="0"/>
              <w:bottom w:val="none" w:color="FFFFFF" w:sz="0"/>
              <w:right w:val="none" w:color="FFFFFF" w:sz="0"/>
            </w:tcBorders>
            <w:shd w:fill="003087" w:val="clear"/>
            <w:vAlign w:val="center"/>
          </w:tcPr>
          <w:p>
            <w:pPr>
              <w:jc w:val="center"/>
            </w:pPr>
            <w:r>
              <w:rPr>
                <w:rFonts w:ascii="Arial" w:cs="Arial" w:eastAsia="Arial" w:hAnsi="Arial"/>
                <w:color w:val="A9C4E8"/>
                <w:sz w:val="18"/>
                <w:szCs w:val="18"/>
              </w:rPr>
              <w:t xml:space="preserve">www.banque-france.fr</w:t>
            </w:r>
          </w:p>
        </w:tc>
      </w:tr>
    </w:tbl>
    <w:p>
      <w:pPr>
        <w:sectPr>
          <w:pgSz w:w="11906" w:h="16838" w:orient="portrait"/>
          <w:pgMar w:top="0" w:right="0" w:bottom="0" w:left="0" w:header="708" w:footer="708" w:gutter="0"/>
          <w:pgNumType/>
          <w:docGrid w:linePitch="360"/>
        </w:sectPr>
      </w:pPr>
    </w:p>
    <w:p>
      <w:pPr>
        <w:pBdr>
          <w:bottom w:val="single" w:color="1A5276" w:sz="6" w:space="4"/>
        </w:pBdr>
        <w:spacing w:after="120" w:before="300"/>
      </w:pPr>
      <w:r>
        <w:rPr>
          <w:rFonts w:ascii="Arial" w:cs="Arial" w:eastAsia="Arial" w:hAnsi="Arial"/>
          <w:b/>
          <w:bCs/>
          <w:color w:val="1A5276"/>
          <w:sz w:val="28"/>
          <w:szCs w:val="28"/>
        </w:rPr>
        <w:t xml:space="preserve">1. Contexte et objectif</w:t>
      </w:r>
    </w:p>
    <w:p>
      <w:pPr>
        <w:spacing w:after="80" w:before="80"/>
      </w:pPr>
      <w:r>
        <w:rPr>
          <w:rFonts w:ascii="Arial" w:cs="Arial" w:eastAsia="Arial" w:hAnsi="Arial"/>
          <w:sz w:val="20"/>
          <w:szCs w:val="20"/>
        </w:rPr>
        <w:t xml:space="preserve">Cette procedure decrit l'utilisation de l'outil de ticketing EV Service Manager (Portsair) pour la gestion des incidents informatiques au sein de la Banque de France. Elle couvre la reception, le traitement et la cloture des tickets d'incidents par le technicien de proximite DGSI.</w:t>
      </w:r>
    </w:p>
    <w:p>
      <w:pPr>
        <w:spacing w:after="12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Redacteur</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Nassim ABIARI — Technicien de proximite DGSI</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Outil concerne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EV Service Manager (Portsair)</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File d'attente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Q21601R_BUT — Paris Siege</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Exemple traite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Ticket S251208_00209 — Probleme connexion reseau</w:t>
            </w:r>
          </w:p>
        </w:tc>
      </w:tr>
      <w:tr>
        <w:tc>
          <w:tcPr>
            <w:tcW w:type="dxa" w:w="2400"/>
            <w:tcBorders>
              <w:top w:val="single" w:color="AADDED" w:sz="1"/>
              <w:left w:val="single" w:color="AADDED" w:sz="1"/>
              <w:bottom w:val="single" w:color="AADDED" w:sz="1"/>
              <w:right w:val="single" w:color="AADDED" w:sz="1"/>
            </w:tcBorders>
            <w:shd w:fill="D6E4F0" w:val="clear"/>
            <w:tcMar>
              <w:top w:type="dxa" w:w="80"/>
              <w:left w:type="dxa" w:w="120"/>
              <w:bottom w:type="dxa" w:w="80"/>
              <w:right w:type="dxa" w:w="80"/>
            </w:tcMar>
          </w:tcPr>
          <w:p>
            <w:r>
              <w:rPr>
                <w:rFonts w:ascii="Arial" w:cs="Arial" w:eastAsia="Arial" w:hAnsi="Arial"/>
                <w:b/>
                <w:bCs/>
                <w:color w:val="1A5276"/>
                <w:sz w:val="20"/>
                <w:szCs w:val="20"/>
              </w:rPr>
              <w:t xml:space="preserve">Date</w:t>
            </w:r>
          </w:p>
        </w:tc>
        <w:tc>
          <w:tcPr>
            <w:tcW w:type="dxa" w:w="66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Decembre 2025</w:t>
            </w:r>
          </w:p>
        </w:tc>
      </w:tr>
    </w:tbl>
    <w:p>
      <w:pPr>
        <w:spacing w:after="200" w:before="0"/>
      </w:pPr>
    </w:p>
    <w:p>
      <w:pPr>
        <w:pBdr>
          <w:bottom w:val="single" w:color="1A5276" w:sz="6" w:space="4"/>
        </w:pBdr>
        <w:spacing w:after="120" w:before="300"/>
      </w:pPr>
      <w:r>
        <w:rPr>
          <w:rFonts w:ascii="Arial" w:cs="Arial" w:eastAsia="Arial" w:hAnsi="Arial"/>
          <w:b/>
          <w:bCs/>
          <w:color w:val="1A5276"/>
          <w:sz w:val="28"/>
          <w:szCs w:val="28"/>
        </w:rPr>
        <w:t xml:space="preserve">2. Presentation de l'outil Portsair</w:t>
      </w:r>
    </w:p>
    <w:p>
      <w:pPr>
        <w:spacing w:after="80" w:before="80"/>
      </w:pPr>
      <w:r>
        <w:rPr>
          <w:rFonts w:ascii="Arial" w:cs="Arial" w:eastAsia="Arial" w:hAnsi="Arial"/>
          <w:sz w:val="20"/>
          <w:szCs w:val="20"/>
        </w:rPr>
        <w:t xml:space="preserve">EV Service Manager, deploye sous le nom 'Portsair' a la Banque de France, est la solution ITSM (IT Service Management) utilisee pour la gestion des incidents, demandes de service et changements. Les techniciens de proximite l'utilisent quotidiennement pour recevoir, traiter et cloturer les tickets affectes a leur file d'attente.</w:t>
      </w:r>
    </w:p>
    <w:p>
      <w:pPr>
        <w:spacing w:after="120" w:before="0"/>
      </w:pPr>
    </w:p>
    <w:p>
      <w:pPr>
        <w:jc w:val="center"/>
      </w:pPr>
      <w:r>
        <w:drawing>
          <wp:inline distT="0" distB="0" distL="0" distR="0">
            <wp:extent cx="5143500" cy="1485900"/>
            <wp:effectExtent t="0" r="0" b="0" l="0"/>
            <wp:docPr id="1" name="Cycle de vie d'un ticket dans Portsair (EV Service Manager)" descr="Cycle de vie d'un ticket dans Portsair (EV Service Manager)" title="Cycle de vie d'un ticket dans Portsair (EV Servic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48590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Cycle de vie d'un ticket dans Portsair (EV Service Manager)</w:t>
      </w:r>
    </w:p>
    <w:p>
      <w:pPr>
        <w:spacing w:after="160" w:before="0"/>
      </w:pPr>
    </w:p>
    <w:p>
      <w:pPr>
        <w:pBdr>
          <w:bottom w:val="single" w:color="1A5276" w:sz="6" w:space="4"/>
        </w:pBdr>
        <w:spacing w:after="120" w:before="300"/>
      </w:pPr>
      <w:r>
        <w:rPr>
          <w:rFonts w:ascii="Arial" w:cs="Arial" w:eastAsia="Arial" w:hAnsi="Arial"/>
          <w:b/>
          <w:bCs/>
          <w:color w:val="1A5276"/>
          <w:sz w:val="28"/>
          <w:szCs w:val="28"/>
        </w:rPr>
        <w:t xml:space="preserve">3. Procedure de traitement d'un incident</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A5276" w:val="clear"/>
            <w:tcMar>
              <w:top w:type="dxa" w:w="80"/>
              <w:left w:type="dxa" w:w="160"/>
              <w:bottom w:type="dxa" w:w="80"/>
              <w:right w:type="dxa" w:w="80"/>
            </w:tcMar>
          </w:tcPr>
          <w:p>
            <w:r>
              <w:rPr>
                <w:rFonts w:ascii="Arial" w:cs="Arial" w:eastAsia="Arial" w:hAnsi="Arial"/>
                <w:b/>
                <w:bCs/>
                <w:color w:val="FFFFFF"/>
                <w:sz w:val="22"/>
                <w:szCs w:val="22"/>
              </w:rPr>
              <w:t xml:space="preserve">Etape 1 — </w:t>
            </w:r>
            <w:r>
              <w:rPr>
                <w:rFonts w:ascii="Arial" w:cs="Arial" w:eastAsia="Arial" w:hAnsi="Arial"/>
                <w:b/>
                <w:bCs/>
                <w:color w:val="FFFFFF"/>
                <w:sz w:val="22"/>
                <w:szCs w:val="22"/>
              </w:rPr>
              <w:t xml:space="preserve">Consultation de la file d'attente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Se connecter a Portsair (EV Service Manager) avec les identifiants DGSI</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Acceder a la file d'attente : Q21601R_BUT (Paris Siege)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La vue liste affiche tous les tickets en attente de prise en charge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Colonnes visibles : Date, N° ticket, Statut, Beneficiaire, Intervenant</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Prioriser les tickets selon la priorite et la date de creation</w:t>
            </w:r>
          </w:p>
        </w:tc>
      </w:tr>
    </w:tbl>
    <w:p>
      <w:pPr>
        <w:spacing w:after="120" w:before="0"/>
      </w:pPr>
    </w:p>
    <w:p>
      <w:pPr>
        <w:jc w:val="center"/>
      </w:pPr>
      <w:r>
        <w:drawing>
          <wp:inline distT="0" distB="0" distL="0" distR="0">
            <wp:extent cx="5334000" cy="3562350"/>
            <wp:effectExtent t="0" r="0" b="0" l="0"/>
            <wp:docPr id="1" name="File d'attente Q21601R_BUT — Paris Siege (~30 tickets en attente)" descr="File d'attente Q21601R_BUT — Paris Siege (~30 tickets en attente)" title="File d'attente Q21601R_BUT — Paris Siege (~30 ticket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623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File d'attente Q21601R_BUT — Paris Siege (~30 tickets en attente)</w:t>
      </w:r>
    </w:p>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D35400" w:val="clear"/>
            <w:tcMar>
              <w:top w:type="dxa" w:w="80"/>
              <w:left w:type="dxa" w:w="160"/>
              <w:bottom w:type="dxa" w:w="80"/>
              <w:right w:type="dxa" w:w="80"/>
            </w:tcMar>
          </w:tcPr>
          <w:p>
            <w:r>
              <w:rPr>
                <w:rFonts w:ascii="Arial" w:cs="Arial" w:eastAsia="Arial" w:hAnsi="Arial"/>
                <w:b/>
                <w:bCs/>
                <w:color w:val="FFFFFF"/>
                <w:sz w:val="22"/>
                <w:szCs w:val="22"/>
              </w:rPr>
              <w:t xml:space="preserve">Etape 2 — </w:t>
            </w:r>
            <w:r>
              <w:rPr>
                <w:rFonts w:ascii="Arial" w:cs="Arial" w:eastAsia="Arial" w:hAnsi="Arial"/>
                <w:b/>
                <w:bCs/>
                <w:color w:val="FFFFFF"/>
                <w:sz w:val="22"/>
                <w:szCs w:val="22"/>
              </w:rPr>
              <w:t xml:space="preserve">Prise en charge et diagnostic du ticket</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Ouvrir le ticket concerne — ex. : S251208_00209</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Lire la description : probleme de connexion reseau suite changement de base informatique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Identifier le beneficiaire : Laurence — Entite GOUV.DE.LA.BANQUE/SG/SG/SD.DISTRAT</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Prendre en charge le ticket (changer le statut vers 'En cours')</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Appeler ou contacter le beneficiaire pour affiner le diagnostic</w:t>
            </w:r>
          </w:p>
        </w:tc>
      </w:tr>
    </w:tbl>
    <w:p>
      <w:pPr>
        <w:spacing w:after="120" w:before="0"/>
      </w:pPr>
    </w:p>
    <w:p>
      <w:pPr>
        <w:jc w:val="center"/>
      </w:pPr>
      <w:r>
        <w:drawing>
          <wp:inline distT="0" distB="0" distL="0" distR="0">
            <wp:extent cx="5334000" cy="3562350"/>
            <wp:effectExtent t="0" r="0" b="0" l="0"/>
            <wp:docPr id="1" name="Ticket S251208_00209 — Probleme connexion reseau, interventions documentees" descr="Ticket S251208_00209 — Probleme connexion reseau, interventions documentees" title="Ticket S251208_00209 — Probleme connexion reseau, interventions docume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62350"/>
                    </a:xfrm>
                    <a:prstGeom prst="rect">
                      <a:avLst/>
                    </a:prstGeom>
                  </pic:spPr>
                </pic:pic>
              </a:graphicData>
            </a:graphic>
          </wp:inline>
        </w:drawing>
      </w:r>
    </w:p>
    <w:p>
      <w:pPr>
        <w:spacing w:after="120" w:before="60"/>
        <w:jc w:val="center"/>
      </w:pPr>
      <w:r>
        <w:rPr>
          <w:rFonts w:ascii="Arial" w:cs="Arial" w:eastAsia="Arial" w:hAnsi="Arial"/>
          <w:i/>
          <w:iCs/>
          <w:color w:val="7F8C8D"/>
          <w:sz w:val="18"/>
          <w:szCs w:val="18"/>
        </w:rPr>
        <w:t xml:space="preserve">Ticket S251208_00209 — Probleme connexion reseau, interventions documentees</w:t>
      </w:r>
    </w:p>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A5276" w:val="clear"/>
            <w:tcMar>
              <w:top w:type="dxa" w:w="80"/>
              <w:left w:type="dxa" w:w="160"/>
              <w:bottom w:type="dxa" w:w="80"/>
              <w:right w:type="dxa" w:w="80"/>
            </w:tcMar>
          </w:tcPr>
          <w:p>
            <w:r>
              <w:rPr>
                <w:rFonts w:ascii="Arial" w:cs="Arial" w:eastAsia="Arial" w:hAnsi="Arial"/>
                <w:b/>
                <w:bCs/>
                <w:color w:val="FFFFFF"/>
                <w:sz w:val="22"/>
                <w:szCs w:val="22"/>
              </w:rPr>
              <w:t xml:space="preserve">Etape 3 — </w:t>
            </w:r>
            <w:r>
              <w:rPr>
                <w:rFonts w:ascii="Arial" w:cs="Arial" w:eastAsia="Arial" w:hAnsi="Arial"/>
                <w:b/>
                <w:bCs/>
                <w:color w:val="FFFFFF"/>
                <w:sz w:val="22"/>
                <w:szCs w:val="22"/>
              </w:rPr>
              <w:t xml:space="preserve">Interventions et resolution</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Documenter chaque action dans le champ 'Activite' du ticket :</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Test prise base : KO</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Autre base : KO</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Reset interface reseau : KO</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  &gt; Desactivation carte / activation ethernet : KO</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Si toutes les tentatives a distance echouent : planifier une intervention physique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Exemple : besoin de l'agent pour se rendre au kiosque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Escalader si necessaire vers le niveau 2 (N2) DGSI</w:t>
            </w:r>
          </w:p>
        </w:tc>
      </w:tr>
    </w:tbl>
    <w:p>
      <w:pPr>
        <w:spacing w:after="1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27AE60" w:val="clear"/>
            <w:tcMar>
              <w:top w:type="dxa" w:w="80"/>
              <w:left w:type="dxa" w:w="160"/>
              <w:bottom w:type="dxa" w:w="80"/>
              <w:right w:type="dxa" w:w="80"/>
            </w:tcMar>
          </w:tcPr>
          <w:p>
            <w:r>
              <w:rPr>
                <w:rFonts w:ascii="Arial" w:cs="Arial" w:eastAsia="Arial" w:hAnsi="Arial"/>
                <w:b/>
                <w:bCs/>
                <w:color w:val="FFFFFF"/>
                <w:sz w:val="22"/>
                <w:szCs w:val="22"/>
              </w:rPr>
              <w:t xml:space="preserve">Etape 4 — </w:t>
            </w:r>
            <w:r>
              <w:rPr>
                <w:rFonts w:ascii="Arial" w:cs="Arial" w:eastAsia="Arial" w:hAnsi="Arial"/>
                <w:b/>
                <w:bCs/>
                <w:color w:val="FFFFFF"/>
                <w:sz w:val="22"/>
                <w:szCs w:val="22"/>
              </w:rPr>
              <w:t xml:space="preserve">Cloture du ticket</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Une fois la solution trouvee, mettre a jour le statut : 'Resolu'</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Renseigner la solution appliquee dans le champ de resolution</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Contacter le beneficiaire pour validation de la solution</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Passer le statut a 'Clos' apres accord du beneficiaire</w:t>
            </w:r>
          </w:p>
        </w:tc>
      </w:tr>
      <w:tr>
        <w:tc>
          <w:tcPr>
            <w:tcW w:type="dxa" w:w="9026"/>
            <w:tcBorders>
              <w:top w:val="none" w:color="FFFFFF" w:sz="0"/>
              <w:left w:val="none" w:color="FFFFFF" w:sz="0"/>
              <w:bottom w:val="none" w:color="FFFFFF" w:sz="0"/>
              <w:right w:val="none" w:color="FFFFFF" w:sz="0"/>
            </w:tcBorders>
            <w:shd w:fill="EBF5FB" w:val="clear"/>
            <w:tcMar>
              <w:top w:type="dxa" w:w="40"/>
              <w:left w:type="dxa" w:w="160"/>
              <w:bottom w:type="dxa" w:w="40"/>
              <w:right w:type="dxa" w:w="80"/>
            </w:tcMar>
          </w:tcPr>
          <w:p>
            <w:pPr>
              <w:pStyle w:val="ListParagraph"/>
              <w:numPr>
                <w:ilvl w:val="0"/>
                <w:numId w:val="2"/>
              </w:numPr>
            </w:pPr>
            <w:r>
              <w:rPr>
                <w:rFonts w:ascii="Arial" w:cs="Arial" w:eastAsia="Arial" w:hAnsi="Arial"/>
                <w:color w:val="1C2833"/>
                <w:sz w:val="20"/>
                <w:szCs w:val="20"/>
              </w:rPr>
              <w:t xml:space="preserve">Le ticket est archive dans EV Service Manager</w:t>
            </w:r>
          </w:p>
        </w:tc>
      </w:tr>
    </w:tbl>
    <w:p>
      <w:pPr>
        <w:spacing w:after="2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E8449" w:val="clear"/>
            <w:tcMar>
              <w:top w:type="dxa" w:w="80"/>
              <w:left w:type="dxa" w:w="200"/>
              <w:bottom w:type="dxa" w:w="80"/>
              <w:right w:type="dxa" w:w="80"/>
            </w:tcMar>
          </w:tcPr>
          <w:p>
            <w:r>
              <w:rPr>
                <w:rFonts w:ascii="Arial" w:cs="Arial" w:eastAsia="Arial" w:hAnsi="Arial"/>
                <w:b/>
                <w:bCs/>
                <w:color w:val="FFFFFF"/>
                <w:sz w:val="22"/>
                <w:szCs w:val="22"/>
              </w:rPr>
              <w:t xml:space="preserve">Resultat attendu / Validation</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L'incident est resolu et le ticket est clos dans Portsair.</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Toutes les actions sont tracees et documentees dans l'historique du ticket.</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Le beneficiaire confirme la resolution — file Q21601R_BUT mise a jour.</w:t>
            </w:r>
          </w:p>
        </w:tc>
      </w:tr>
      <w:tr>
        <w:tc>
          <w:tcPr>
            <w:tcW w:type="dxa" w:w="9026"/>
            <w:tcBorders>
              <w:top w:val="none" w:color="FFFFFF" w:sz="0"/>
              <w:left w:val="none" w:color="FFFFFF" w:sz="0"/>
              <w:bottom w:val="none" w:color="FFFFFF" w:sz="0"/>
              <w:right w:val="none" w:color="FFFFFF" w:sz="0"/>
            </w:tcBorders>
            <w:shd w:fill="D5F5E3" w:val="clear"/>
            <w:tcMar>
              <w:top w:type="dxa" w:w="60"/>
              <w:left w:type="dxa" w:w="200"/>
              <w:bottom w:type="dxa" w:w="60"/>
              <w:right w:type="dxa" w:w="80"/>
            </w:tcMar>
          </w:tcPr>
          <w:p>
            <w:r>
              <w:rPr>
                <w:rFonts w:ascii="Arial" w:cs="Arial" w:eastAsia="Arial" w:hAnsi="Arial"/>
                <w:color w:val="1A5C2A"/>
                <w:sz w:val="20"/>
                <w:szCs w:val="20"/>
              </w:rPr>
              <w:t xml:space="preserve">Outil: EV Service Manager | Ref. ticket: S251208_00209 | Statut: Clos</w:t>
            </w:r>
          </w:p>
        </w:tc>
      </w:tr>
    </w:tbl>
    <w:p>
      <w:pPr>
        <w:spacing w:after="240" w:before="0"/>
      </w:pPr>
    </w:p>
    <w:p>
      <w:pPr>
        <w:pBdr>
          <w:bottom w:val="single" w:color="1A5276" w:sz="6" w:space="4"/>
        </w:pBdr>
        <w:spacing w:after="120" w:before="300"/>
      </w:pPr>
      <w:r>
        <w:rPr>
          <w:rFonts w:ascii="Arial" w:cs="Arial" w:eastAsia="Arial" w:hAnsi="Arial"/>
          <w:b/>
          <w:bCs/>
          <w:color w:val="1A5276"/>
          <w:sz w:val="28"/>
          <w:szCs w:val="28"/>
        </w:rPr>
        <w:t xml:space="preserve">4. Competences du referentiel BTS SIO mobilisees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Competence</w:t>
            </w:r>
          </w:p>
        </w:tc>
        <w:tc>
          <w:tcPr>
            <w:tcW w:type="dxa" w:w="3000"/>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Intitule</w:t>
            </w:r>
          </w:p>
        </w:tc>
        <w:tc>
          <w:tcPr>
            <w:tcW w:type="dxa" w:w="4526"/>
            <w:tcBorders>
              <w:top w:val="single" w:color="3498DB" w:sz="1"/>
              <w:left w:val="single" w:color="3498DB" w:sz="1"/>
              <w:bottom w:val="single" w:color="3498DB" w:sz="1"/>
              <w:right w:val="single" w:color="3498DB" w:sz="1"/>
            </w:tcBorders>
            <w:shd w:fill="1A5276" w:val="clear"/>
            <w:tcMar>
              <w:top w:type="dxa" w:w="80"/>
              <w:left w:type="dxa" w:w="120"/>
              <w:bottom w:type="dxa" w:w="80"/>
              <w:right w:type="dxa" w:w="80"/>
            </w:tcMar>
          </w:tcPr>
          <w:p>
            <w:r>
              <w:rPr>
                <w:rFonts w:ascii="Arial" w:cs="Arial" w:eastAsia="Arial" w:hAnsi="Arial"/>
                <w:b/>
                <w:bCs/>
                <w:color w:val="FFFFFF"/>
                <w:sz w:val="20"/>
                <w:szCs w:val="20"/>
              </w:rPr>
              <w:t xml:space="preserve">Mise en oeuvre</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C1</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Gerer le patrimoine informatique</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Suivi des equipements et utilisateurs via les tickets Portsair : traçabilite des interventions et historique des incidents</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C2</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Repondre aux incidents</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Reception, diagnostic, resolution et cloture des incidents utilisateurs via EV Service Manager (Portsair), file Q21601R_BUT</w:t>
            </w:r>
          </w:p>
        </w:tc>
      </w:tr>
      <w:tr>
        <w:tc>
          <w:tcPr>
            <w:tcW w:type="dxa" w:w="1500"/>
            <w:tcBorders>
              <w:top w:val="single" w:color="AADDED" w:sz="1"/>
              <w:left w:val="single" w:color="AADDED" w:sz="1"/>
              <w:bottom w:val="single" w:color="AADDED" w:sz="1"/>
              <w:right w:val="single" w:color="AADDED" w:sz="1"/>
            </w:tcBorders>
            <w:shd w:fill="EAF4FB" w:val="clear"/>
            <w:tcMar>
              <w:top w:type="dxa" w:w="80"/>
              <w:left w:type="dxa" w:w="120"/>
              <w:bottom w:type="dxa" w:w="80"/>
              <w:right w:type="dxa" w:w="80"/>
            </w:tcMar>
          </w:tcPr>
          <w:p>
            <w:r>
              <w:rPr>
                <w:rFonts w:ascii="Arial" w:cs="Arial" w:eastAsia="Arial" w:hAnsi="Arial"/>
                <w:b/>
                <w:bCs/>
                <w:color w:val="1A5276"/>
                <w:sz w:val="20"/>
                <w:szCs w:val="20"/>
              </w:rPr>
              <w:t xml:space="preserve">C5</w:t>
            </w:r>
          </w:p>
        </w:tc>
        <w:tc>
          <w:tcPr>
            <w:tcW w:type="dxa" w:w="3000"/>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Gerer les infrastructures</w:t>
            </w:r>
          </w:p>
        </w:tc>
        <w:tc>
          <w:tcPr>
            <w:tcW w:type="dxa" w:w="4526"/>
            <w:tcBorders>
              <w:top w:val="single" w:color="AADDED" w:sz="1"/>
              <w:left w:val="single" w:color="AADDED" w:sz="1"/>
              <w:bottom w:val="single" w:color="AADDED" w:sz="1"/>
              <w:right w:val="single" w:color="AADDED" w:sz="1"/>
            </w:tcBorders>
            <w:shd w:fill="FFFFFF" w:val="clear"/>
            <w:tcMar>
              <w:top w:type="dxa" w:w="80"/>
              <w:left w:type="dxa" w:w="120"/>
              <w:bottom w:type="dxa" w:w="80"/>
              <w:right w:type="dxa" w:w="80"/>
            </w:tcMar>
          </w:tcPr>
          <w:p>
            <w:r>
              <w:rPr>
                <w:rFonts w:ascii="Arial" w:cs="Arial" w:eastAsia="Arial" w:hAnsi="Arial"/>
                <w:sz w:val="20"/>
                <w:szCs w:val="20"/>
              </w:rPr>
              <w:t xml:space="preserve">Diagnostic reseau niveau 1 : test prises, reset interfaces, escalade N2 DGSI pour les incidents complexes hors perimetre N1</w:t>
            </w:r>
          </w:p>
        </w:tc>
      </w:tr>
    </w:tbl>
    <w:p>
      <w:pPr>
        <w:spacing w:after="120" w:before="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087" w:sz="4" w:space="2"/>
      </w:pBdr>
    </w:pPr>
    <w:r>
      <w:rPr>
        <w:rFonts w:ascii="Arial" w:cs="Arial" w:eastAsia="Arial" w:hAnsi="Arial"/>
        <w:color w:val="7F8C8D"/>
        <w:sz w:val="16"/>
        <w:szCs w:val="16"/>
      </w:rPr>
      <w:t xml:space="preserve">BDF-PROC-PORTSAIR-2025   |   Page </w:t>
    </w:r>
    <w:r>
      <w:rPr>
        <w:rFonts w:ascii="Arial" w:cs="Arial" w:eastAsia="Arial" w:hAnsi="Arial"/>
        <w:color w:val="7F8C8D"/>
        <w:sz w:val="16"/>
        <w:szCs w:val="16"/>
      </w:rPr>
      <w:fldChar w:fldCharType="begin"/>
      <w:instrText xml:space="preserve">PAGE</w:instrText>
      <w:fldChar w:fldCharType="separate"/>
      <w:fldChar w:fldCharType="end"/>
    </w:r>
    <w:r>
      <w:rPr>
        <w:rFonts w:ascii="Arial" w:cs="Arial" w:eastAsia="Arial" w:hAnsi="Arial"/>
        <w:color w:val="7F8C8D"/>
        <w:sz w:val="16"/>
        <w:szCs w:val="16"/>
      </w:rPr>
      <w:t xml:space="preserve"> / </w:t>
    </w:r>
    <w:r>
      <w:rPr>
        <w:rFonts w:ascii="Arial" w:cs="Arial" w:eastAsia="Arial" w:hAnsi="Arial"/>
        <w:color w:val="7F8C8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087" w:sz="4" w:space="2"/>
      </w:pBdr>
      <w:tabs>
        <w:tab w:val="right" w:pos="9026"/>
      </w:tabs>
    </w:pPr>
    <w:r>
      <w:rPr>
        <w:rFonts w:ascii="Arial" w:cs="Arial" w:eastAsia="Arial" w:hAnsi="Arial"/>
        <w:b/>
        <w:bCs/>
        <w:color w:val="003087"/>
        <w:sz w:val="18"/>
        <w:szCs w:val="18"/>
      </w:rPr>
      <w:t xml:space="preserve">Banque de France — DGSI  |  </w:t>
    </w:r>
    <w:r>
      <w:rPr>
        <w:rFonts w:ascii="Arial" w:cs="Arial" w:eastAsia="Arial" w:hAnsi="Arial"/>
        <w:color w:val="1A5276"/>
        <w:sz w:val="18"/>
        <w:szCs w:val="18"/>
      </w:rPr>
      <w:t xml:space="preserve">Procedure de gestion des tickets Portsair</w:t>
    </w:r>
    <w:r>
      <w:rPr>
        <w:rFonts w:ascii="Arial" w:cs="Arial" w:eastAsia="Arial" w:hAnsi="Arial"/>
        <w:sz w:val="18"/>
        <w:szCs w:val="18"/>
      </w:rPr>
      <w:t xml:space="preserve">	</w:t>
    </w:r>
    <w:r>
      <w:rPr>
        <w:rFonts w:ascii="Arial" w:cs="Arial" w:eastAsia="Arial" w:hAnsi="Arial"/>
        <w:b/>
        <w:bCs/>
        <w:color w:val="C0392B"/>
        <w:sz w:val="18"/>
        <w:szCs w:val="18"/>
      </w:rPr>
      <w:t xml:space="preserve">CONFIDENTIEL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935097cb9be1a0c1752c7df6205ca66fa7eeed.png"/><Relationship Id="rId10" Type="http://schemas.openxmlformats.org/officeDocument/2006/relationships/image" Target="media/724ced75b0a33240367e2bd992965e2a02841506.png"/><Relationship Id="rId11" Type="http://schemas.openxmlformats.org/officeDocument/2006/relationships/image" Target="media/94b77974690e27bf7bbde65918d086f15044d92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2026-04-06T15:21:54.863Z</dcterms:created>
  <dcterms:modified xsi:type="dcterms:W3CDTF">2026-04-06T15:21:54.863Z</dcterms:modified>
</cp:coreProperties>
</file>

<file path=docProps/custom.xml><?xml version="1.0" encoding="utf-8"?>
<Properties xmlns="http://schemas.openxmlformats.org/officeDocument/2006/custom-properties" xmlns:vt="http://schemas.openxmlformats.org/officeDocument/2006/docPropsVTypes"/>
</file>