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AA000001" w14:textId="AA000001" w:rsidR="005B39EA" w:rsidRDefault="005B39EA">
      <w:pPr>
        <w:shd w:val="clear" w:color="auto" w:fill="1F3864"/>
        <w:spacing w:before="160" w:after="60"/>
        <w:jc w:val="center"/>
        <w:rPr>
          <w:rFonts w:ascii="Arial" w:hAnsi="Arial"/>
          <w:b/>
          <w:color w:val="FFFFFF"/>
          <w:sz w:val="36"/>
          <w:szCs w:val="36"/>
        </w:rPr>
      </w:pPr>
      <w:r>
        <w:rPr>
          <w:rFonts w:ascii="Arial" w:hAnsi="Arial"/>
          <w:b/>
          <w:color w:val="FFFFFF"/>
          <w:sz w:val="36"/>
          <w:szCs w:val="36"/>
        </w:rPr>
        <w:t>Procédure de Masterisation</w:t>
      </w:r>
    </w:p>
    <w:p w14:paraId="AA000002" w14:textId="AA000002" w:rsidR="005B39EA" w:rsidRDefault="005B39EA">
      <w:pPr>
        <w:shd w:val="clear" w:color="auto" w:fill="2E75B6"/>
        <w:spacing w:before="0" w:after="0"/>
        <w:jc w:val="center"/>
        <w:rPr>
          <w:rFonts w:ascii="Arial" w:hAnsi="Arial"/>
          <w:color w:val="FFFFFF"/>
          <w:sz w:val="22"/>
          <w:szCs w:val="22"/>
        </w:rPr>
      </w:pPr>
      <w:r>
        <w:rPr>
          <w:rFonts w:ascii="Arial" w:hAnsi="Arial"/>
          <w:color w:val="FFFFFF"/>
          <w:sz w:val="22"/>
          <w:szCs w:val="22"/>
        </w:rPr>
        <w:t>Documentation Technique — Déploiement en entreprise</w:t>
      </w:r>
    </w:p>
    <w:p w14:paraId="AA000003" w14:textId="77777777" w:rsidR="005B39EA" w:rsidRDefault="005B39EA">
      <w:pPr>
        <w:spacing w:before="80" w:after="0"/>
      </w:pPr>
    </w:p>
    <w:tbl>
      <w:tblPr>
        <w:tblStyle w:val="TableGrid"/>
        <w:tblW w:w="9072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8"/>
        <w:gridCol w:w="6804"/>
      </w:tblGrid>
      <w:tr>
        <w:tc>
          <w:tcPr>
            <w:tcW w:w="2268" w:type="dxa"/>
            <w:shd w:val="clear" w:color="auto" w:fill="DEEA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3864"/>
                <w:sz w:val="18"/>
                <w:szCs w:val="18"/>
              </w:rPr>
              <w:t>Auteur</w:t>
            </w:r>
          </w:p>
        </w:tc>
        <w:tc>
          <w:tcPr>
            <w:tcW w:w="6804" w:type="dxa"/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  <w:szCs w:val="18"/>
              </w:rPr>
              <w:t>ABIARI Nassim</w:t>
            </w:r>
          </w:p>
        </w:tc>
      </w:tr>
      <w:tr>
        <w:tc>
          <w:tcPr>
            <w:tcW w:w="2268" w:type="dxa"/>
            <w:shd w:val="clear" w:color="auto" w:fill="DEEA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3864"/>
                <w:sz w:val="18"/>
                <w:szCs w:val="18"/>
              </w:rPr>
              <w:t>Entreprise</w:t>
            </w:r>
          </w:p>
        </w:tc>
        <w:tc>
          <w:tcPr>
            <w:tcW w:w="6804" w:type="dxa"/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  <w:szCs w:val="18"/>
              </w:rPr>
              <w:t>Banque de France — DGSI</w:t>
            </w:r>
          </w:p>
        </w:tc>
      </w:tr>
      <w:tr>
        <w:tc>
          <w:tcPr>
            <w:tcW w:w="2268" w:type="dxa"/>
            <w:shd w:val="clear" w:color="auto" w:fill="DEEA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3864"/>
                <w:sz w:val="18"/>
                <w:szCs w:val="18"/>
              </w:rPr>
              <w:t>Formation</w:t>
            </w:r>
          </w:p>
        </w:tc>
        <w:tc>
          <w:tcPr>
            <w:tcW w:w="6804" w:type="dxa"/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  <w:szCs w:val="18"/>
              </w:rPr>
              <w:t>BTS SIO — SISR — 2ème année</w:t>
            </w:r>
          </w:p>
        </w:tc>
      </w:tr>
      <w:tr>
        <w:tc>
          <w:tcPr>
            <w:tcW w:w="2268" w:type="dxa"/>
            <w:shd w:val="clear" w:color="auto" w:fill="DEEAF1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3864"/>
                <w:sz w:val="18"/>
                <w:szCs w:val="18"/>
              </w:rPr>
              <w:t>Année</w:t>
            </w:r>
          </w:p>
        </w:tc>
        <w:tc>
          <w:tcPr>
            <w:tcW w:w="6804" w:type="dxa"/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  <w:szCs w:val="18"/>
              </w:rPr>
              <w:t>2025–2026</w:t>
            </w:r>
          </w:p>
        </w:tc>
      </w:tr>
    </w:tbl>
    <w:p w14:paraId="AA000010" w14:textId="77777777" w:rsidR="005B39EA" w:rsidRDefault="005B39EA">
      <w:pPr>
        <w:spacing w:before="200" w:after="0"/>
      </w:pPr>
    </w:p>
    <w:p w14:paraId="AA000011" w14:textId="AA000011" w:rsidR="005B39EA" w:rsidRDefault="005B39EA">
      <w:pPr>
        <w:shd w:val="clear" w:color="auto" w:fill="1F3864"/>
        <w:spacing w:before="80" w:after="80"/>
        <w:ind w:left="160"/>
        <w:rPr>
          <w:rFonts w:ascii="Arial" w:hAnsi="Arial"/>
          <w:b/>
          <w:color w:val="FFFFFF"/>
          <w:sz w:val="24"/>
          <w:szCs w:val="24"/>
        </w:rPr>
      </w:pPr>
      <w:r>
        <w:rPr>
          <w:rFonts w:ascii="Arial" w:hAnsi="Arial"/>
          <w:b/>
          <w:color w:val="FFFFFF"/>
          <w:sz w:val="24"/>
          <w:szCs w:val="24"/>
        </w:rPr>
        <w:t>▶  Étape 1 — Réception et enregistrement du PC</w:t>
      </w:r>
    </w:p>
    <w:p w14:paraId="6BB7FDB3" w14:textId="01C46EC9" w:rsidR="005B39EA" w:rsidRDefault="005B39EA">
      <w:pPr>
        <w:spacing w:before="120" w:after="100" w:line="276" w:lineRule="auto"/>
        <w:ind w:left="1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Dès qu’on reçoit un PC, on le crée dans le logiciel de répertoire pour qu’il soit identifiable si on le cherche.</w:t>
      </w:r>
    </w:p>
    <w:p w14:paraId="5EDB1154" w14:textId="648F773D" w:rsidR="005B39EA" w:rsidRDefault="005B39EA">
      <w:pPr>
        <w:spacing w:before="100" w:after="60"/>
        <w:jc w:val="center"/>
      </w:pPr>
      <w:r>
        <w:rPr>
          <w:noProof/>
        </w:rPr>
        <w:drawing>
          <wp:inline distT="0" distB="0" distL="0" distR="0" wp14:anchorId="586B8F7D" wp14:editId="58F43EEB">
            <wp:extent cx="5753100" cy="2771775"/>
            <wp:effectExtent l="0" t="0" r="0" b="9525"/>
            <wp:docPr id="116730647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AA000012" w14:textId="77777777" w:rsidR="005B39EA" w:rsidRDefault="005B39EA">
      <w:pPr>
        <w:spacing w:before="0" w:after="160"/>
        <w:jc w:val="center"/>
        <w:rPr>
          <w:rFonts w:ascii="Arial" w:hAnsi="Arial"/>
          <w:i/>
          <w:color w:val="595959"/>
          <w:sz w:val="18"/>
          <w:szCs w:val="18"/>
        </w:rPr>
      </w:pPr>
      <w:r>
        <w:rPr>
          <w:rFonts w:ascii="Arial" w:hAnsi="Arial"/>
          <w:i/>
          <w:color w:val="595959"/>
          <w:sz w:val="18"/>
          <w:szCs w:val="18"/>
        </w:rPr>
        <w:t>Fig. 1 — Enregistrement du PC dans le logiciel de répertoire</w:t>
      </w:r>
    </w:p>
    <w:p w14:paraId="4A99CE60" w14:textId="77777777" w:rsidR="005B39EA" w:rsidRDefault="005B39EA">
      <w:pPr>
        <w:spacing w:before="60" w:after="60"/>
        <w:jc w:val="center"/>
      </w:pPr>
      <w:r>
        <w:rPr>
          <w:noProof/>
        </w:rPr>
        <w:drawing>
          <wp:inline distT="0" distB="0" distL="0" distR="0" wp14:anchorId="61A4D9F4" wp14:editId="2A27EE78">
            <wp:extent cx="5753100" cy="3533775"/>
            <wp:effectExtent l="0" t="0" r="0" b="9525"/>
            <wp:docPr id="102605772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AA000013" w14:textId="77777777" w:rsidR="005B39EA" w:rsidRDefault="005B39EA">
      <w:pPr>
        <w:spacing w:before="0" w:after="200"/>
        <w:jc w:val="center"/>
        <w:rPr>
          <w:rFonts w:ascii="Arial" w:hAnsi="Arial"/>
          <w:i/>
          <w:color w:val="595959"/>
          <w:sz w:val="18"/>
          <w:szCs w:val="18"/>
        </w:rPr>
      </w:pPr>
      <w:r>
        <w:rPr>
          <w:rFonts w:ascii="Arial" w:hAnsi="Arial"/>
          <w:i/>
          <w:color w:val="595959"/>
          <w:sz w:val="18"/>
          <w:szCs w:val="18"/>
        </w:rPr>
        <w:t>Fig. 2 — Interface logiciel de répertoire</w:t>
      </w:r>
    </w:p>
    <w:p w14:paraId="AA000020" w14:textId="AA000020" w:rsidR="005B39EA" w:rsidRDefault="005B39EA">
      <w:pPr>
        <w:shd w:val="clear" w:color="auto" w:fill="1F3864"/>
        <w:spacing w:before="80" w:after="80"/>
        <w:ind w:left="160"/>
        <w:rPr>
          <w:rFonts w:ascii="Arial" w:hAnsi="Arial"/>
          <w:b/>
          <w:color w:val="FFFFFF"/>
          <w:sz w:val="24"/>
          <w:szCs w:val="24"/>
        </w:rPr>
      </w:pPr>
      <w:r>
        <w:rPr>
          <w:rFonts w:ascii="Arial" w:hAnsi="Arial"/>
          <w:b/>
          <w:color w:val="FFFFFF"/>
          <w:sz w:val="24"/>
          <w:szCs w:val="24"/>
        </w:rPr>
        <w:t>▶  Étape 2 — Rattachement au service utilisateur</w:t>
      </w:r>
    </w:p>
    <w:p w14:paraId="4A99CE61" w14:textId="6319AE91" w:rsidR="005B39EA" w:rsidRDefault="005B39EA">
      <w:pPr>
        <w:spacing w:before="120" w:after="100" w:line="276" w:lineRule="auto"/>
        <w:ind w:left="1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Après, on le met dans un logiciel interne pour le relier au service de l’employé. On attend ensuite que le PC soit en état de déploiement.</w:t>
      </w:r>
    </w:p>
    <w:p w14:paraId="32856A11" w14:textId="4EAA335D" w:rsidR="005B39EA" w:rsidRDefault="005B39EA">
      <w:pPr>
        <w:spacing w:before="100" w:after="60"/>
        <w:jc w:val="center"/>
      </w:pPr>
      <w:r>
        <w:rPr>
          <w:noProof/>
        </w:rPr>
        <w:drawing>
          <wp:inline distT="0" distB="0" distL="0" distR="0" wp14:anchorId="3B292308" wp14:editId="6532C4FA">
            <wp:extent cx="5762625" cy="3543300"/>
            <wp:effectExtent l="9525" t="0" r="0" b="0"/>
            <wp:docPr id="27260574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AA000021" w14:textId="77777777" w:rsidR="005B39EA" w:rsidRDefault="005B39EA">
      <w:pPr>
        <w:spacing w:before="0" w:after="120"/>
        <w:jc w:val="center"/>
        <w:rPr>
          <w:rFonts w:ascii="Arial" w:hAnsi="Arial"/>
          <w:i/>
          <w:color w:val="595959"/>
          <w:sz w:val="18"/>
          <w:szCs w:val="18"/>
        </w:rPr>
      </w:pPr>
      <w:r>
        <w:rPr>
          <w:rFonts w:ascii="Arial" w:hAnsi="Arial"/>
          <w:i/>
          <w:color w:val="595959"/>
          <w:sz w:val="18"/>
          <w:szCs w:val="18"/>
        </w:rPr>
        <w:t>Fig. 3 — Logiciel interne de rattachement au service</w:t>
      </w:r>
    </w:p>
    <w:p w14:paraId="2FACFE71" w14:textId="2B1FBF0D" w:rsidR="005B39EA" w:rsidRDefault="005B39EA">
      <w:pPr>
        <w:spacing w:before="60" w:after="60"/>
        <w:jc w:val="center"/>
      </w:pPr>
      <w:r>
        <w:rPr>
          <w:noProof/>
        </w:rPr>
        <w:drawing>
          <wp:inline distT="0" distB="0" distL="0" distR="0" wp14:anchorId="336A9873" wp14:editId="46D3B3DC">
            <wp:extent cx="5400000" cy="3370320"/>
            <wp:effectExtent l="0" t="0" r="0" b="3810"/>
            <wp:docPr id="54129485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AA000022" w14:textId="77777777" w:rsidR="005B39EA" w:rsidRDefault="005B39EA">
      <w:pPr>
        <w:spacing w:before="0" w:after="200"/>
        <w:jc w:val="center"/>
        <w:rPr>
          <w:rFonts w:ascii="Arial" w:hAnsi="Arial"/>
          <w:i/>
          <w:color w:val="595959"/>
          <w:sz w:val="18"/>
          <w:szCs w:val="18"/>
        </w:rPr>
      </w:pPr>
      <w:r>
        <w:rPr>
          <w:rFonts w:ascii="Arial" w:hAnsi="Arial"/>
          <w:i/>
          <w:color w:val="595959"/>
          <w:sz w:val="18"/>
          <w:szCs w:val="18"/>
        </w:rPr>
        <w:t>Fig. 4 — Confirmation de rattachement</w:t>
      </w:r>
    </w:p>
    <w:p w14:paraId="08469B4C" w14:textId="32BA24F1" w:rsidR="005B39EA" w:rsidRDefault="005B39EA">
      <w:pPr>
        <w:pBdr>
          <w:top w:val="single" w:sz="12" w:space="4" w:color="C00000"/>
          <w:left w:val="single" w:sz="24" w:space="4" w:color="C00000"/>
          <w:bottom w:val="single" w:sz="12" w:space="4" w:color="C00000"/>
          <w:right w:val="single" w:sz="12" w:space="4" w:color="C00000"/>
        </w:pBdr>
        <w:shd w:val="clear" w:color="auto" w:fill="FFF2CC"/>
        <w:spacing w:before="120" w:after="120" w:line="276" w:lineRule="auto"/>
        <w:ind w:left="200" w:right="200"/>
        <w:rPr>
          <w:rFonts w:ascii="Arial" w:hAnsi="Arial"/>
          <w:sz w:val="22"/>
          <w:szCs w:val="22"/>
        </w:rPr>
      </w:pPr>
      <w:r>
        <w:rPr>
          <w:rFonts w:ascii="Arial" w:hAnsi="Arial"/>
          <w:b/>
          <w:color w:val="C00000"/>
          <w:sz w:val="22"/>
          <w:szCs w:val="22"/>
        </w:rPr>
        <w:t xml:space="preserve">⚠ IMPORTANT : </w:t>
      </w:r>
      <w:r>
        <w:rPr>
          <w:rFonts w:ascii="Arial" w:hAnsi="Arial"/>
          <w:sz w:val="22"/>
          <w:szCs w:val="22"/>
        </w:rPr>
        <w:t>il faut mettre un MDP spécial que le serveur de master connaît, sinon le master ne passera jamais. Il faut également régler certains paramètres au préalable.</w:t>
      </w:r>
    </w:p>
    <w:p w14:paraId="AA000030" w14:textId="77777777" w:rsidR="005B39EA" w:rsidRDefault="005B39EA">
      <w:pPr>
        <w:spacing w:before="160" w:after="0"/>
      </w:pPr>
    </w:p>
    <w:p w14:paraId="AA000031" w14:textId="AA000031" w:rsidR="005B39EA" w:rsidRDefault="005B39EA">
      <w:pPr>
        <w:shd w:val="clear" w:color="auto" w:fill="1F3864"/>
        <w:spacing w:before="80" w:after="80"/>
        <w:ind w:left="160"/>
        <w:rPr>
          <w:rFonts w:ascii="Arial" w:hAnsi="Arial"/>
          <w:b/>
          <w:color w:val="FFFFFF"/>
          <w:sz w:val="24"/>
          <w:szCs w:val="24"/>
        </w:rPr>
      </w:pPr>
      <w:r>
        <w:rPr>
          <w:rFonts w:ascii="Arial" w:hAnsi="Arial"/>
          <w:b/>
          <w:color w:val="FFFFFF"/>
          <w:sz w:val="24"/>
          <w:szCs w:val="24"/>
        </w:rPr>
        <w:t>▶  Étape 3 — Démarrage du master (≈ 4 heures)</w:t>
      </w:r>
    </w:p>
    <w:p w14:paraId="49CD191C" w14:textId="50503B69" w:rsidR="005B39EA" w:rsidRDefault="005B39EA">
      <w:pPr>
        <w:spacing w:before="120" w:after="100" w:line="276" w:lineRule="auto"/>
        <w:ind w:left="1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On branche le PC en réseau et le master se lance. L’opération dure environ 4 heures.</w:t>
      </w:r>
    </w:p>
    <w:p w14:paraId="0AE5356E" w14:textId="77777777" w:rsidR="00504DD3" w:rsidRDefault="00504DD3">
      <w:pPr>
        <w:spacing w:before="100" w:after="60"/>
        <w:jc w:val="center"/>
      </w:pPr>
      <w:r>
        <w:rPr>
          <w:noProof/>
        </w:rPr>
        <w:drawing>
          <wp:inline distT="0" distB="0" distL="0" distR="0" wp14:anchorId="2E426E71" wp14:editId="4593B7EC">
            <wp:extent cx="5753100" cy="3124200"/>
            <wp:effectExtent l="0" t="0" r="0" b="0"/>
            <wp:docPr id="211514014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AA000032" w14:textId="77777777" w:rsidR="00504DD3" w:rsidRDefault="00504DD3">
      <w:pPr>
        <w:spacing w:before="0" w:after="120"/>
        <w:jc w:val="center"/>
        <w:rPr>
          <w:rFonts w:ascii="Arial" w:hAnsi="Arial"/>
          <w:i/>
          <w:color w:val="595959"/>
          <w:sz w:val="18"/>
          <w:szCs w:val="18"/>
        </w:rPr>
      </w:pPr>
      <w:r>
        <w:rPr>
          <w:rFonts w:ascii="Arial" w:hAnsi="Arial"/>
          <w:i/>
          <w:color w:val="595959"/>
          <w:sz w:val="18"/>
          <w:szCs w:val="18"/>
        </w:rPr>
        <w:t>Fig. 5 — Lancement du processus de masterisation</w:t>
      </w:r>
    </w:p>
    <w:p w14:paraId="0AE5356F" w14:textId="77777778" w:rsidR="00504DD3" w:rsidRDefault="00504DD3">
      <w:pPr>
        <w:spacing w:before="60" w:after="60"/>
        <w:jc w:val="center"/>
      </w:pPr>
      <w:r>
        <w:rPr>
          <w:noProof/>
        </w:rPr>
        <w:drawing>
          <wp:inline distT="0" distB="0" distL="0" distR="0" wp14:anchorId="7F235705" wp14:editId="0D58251B">
            <wp:extent cx="5753100" cy="2933700"/>
            <wp:effectExtent l="0" t="0" r="0" b="0"/>
            <wp:docPr id="171276209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AA000033" w14:textId="77777777" w:rsidR="00504DD3" w:rsidRDefault="00504DD3">
      <w:pPr>
        <w:spacing w:before="0" w:after="120"/>
        <w:jc w:val="center"/>
        <w:rPr>
          <w:rFonts w:ascii="Arial" w:hAnsi="Arial"/>
          <w:i/>
          <w:color w:val="595959"/>
          <w:sz w:val="18"/>
          <w:szCs w:val="18"/>
        </w:rPr>
      </w:pPr>
      <w:r>
        <w:rPr>
          <w:rFonts w:ascii="Arial" w:hAnsi="Arial"/>
          <w:i/>
          <w:color w:val="595959"/>
          <w:sz w:val="18"/>
          <w:szCs w:val="18"/>
        </w:rPr>
        <w:t>Fig. 6 — Progression du déploiement WIM</w:t>
      </w:r>
    </w:p>
    <w:p w14:paraId="0AE5356A" w14:textId="77777779" w:rsidR="00504DD3" w:rsidRDefault="00504DD3">
      <w:pPr>
        <w:spacing w:before="60" w:after="60"/>
        <w:jc w:val="center"/>
      </w:pPr>
      <w:r>
        <w:rPr>
          <w:noProof/>
        </w:rPr>
        <w:drawing>
          <wp:inline distT="0" distB="0" distL="0" distR="0" wp14:anchorId="1F0A89CB" wp14:editId="71150749">
            <wp:extent cx="5753100" cy="2790825"/>
            <wp:effectExtent l="0" t="0" r="0" b="9525"/>
            <wp:docPr id="47595124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AA000034" w14:textId="77777777" w:rsidR="00504DD3" w:rsidRDefault="00504DD3">
      <w:pPr>
        <w:spacing w:before="0" w:after="200"/>
        <w:jc w:val="center"/>
        <w:rPr>
          <w:rFonts w:ascii="Arial" w:hAnsi="Arial"/>
          <w:i/>
          <w:color w:val="595959"/>
          <w:sz w:val="18"/>
          <w:szCs w:val="18"/>
        </w:rPr>
      </w:pPr>
      <w:r>
        <w:rPr>
          <w:rFonts w:ascii="Arial" w:hAnsi="Arial"/>
          <w:i/>
          <w:color w:val="595959"/>
          <w:sz w:val="18"/>
          <w:szCs w:val="18"/>
        </w:rPr>
        <w:t>Fig. 7 — Fin du déploiement — redémarrage du poste</w:t>
      </w:r>
    </w:p>
    <w:p w14:paraId="AA000040" w14:textId="AA000040" w:rsidR="00504DD3" w:rsidRDefault="00504DD3">
      <w:pPr>
        <w:shd w:val="clear" w:color="auto" w:fill="1F3864"/>
        <w:spacing w:before="80" w:after="80"/>
        <w:ind w:left="160"/>
        <w:rPr>
          <w:rFonts w:ascii="Arial" w:hAnsi="Arial"/>
          <w:b/>
          <w:color w:val="FFFFFF"/>
          <w:sz w:val="24"/>
          <w:szCs w:val="24"/>
        </w:rPr>
      </w:pPr>
      <w:r>
        <w:rPr>
          <w:rFonts w:ascii="Arial" w:hAnsi="Arial"/>
          <w:b/>
          <w:color w:val="FFFFFF"/>
          <w:sz w:val="24"/>
          <w:szCs w:val="24"/>
        </w:rPr>
        <w:t>▶  Étape 4 — Configuration finale et remise au service</w:t>
      </w:r>
    </w:p>
    <w:p w14:paraId="5DDE7B10" w14:textId="24ECE9A0" w:rsidR="00504DD3" w:rsidRDefault="00504DD3">
      <w:pPr>
        <w:spacing w:before="120" w:after="120" w:line="276" w:lineRule="auto"/>
        <w:ind w:left="1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Quand le master est fini, on effectue une petite configuration sur le poste. Il est alors prêt à être remis à l’utilisateur.</w:t>
      </w:r>
    </w:p>
    <w:p w14:paraId="AA000050" w14:textId="77777777" w:rsidR="00504DD3" w:rsidRDefault="00504DD3">
      <w:pPr>
        <w:spacing w:before="160" w:after="0"/>
      </w:pPr>
    </w:p>
    <w:p w14:paraId="AA000051" w14:textId="AA000051" w:rsidR="00504DD3" w:rsidRDefault="00504DD3">
      <w:pPr>
        <w:shd w:val="clear" w:color="auto" w:fill="375623"/>
        <w:spacing w:before="60" w:after="60"/>
        <w:jc w:val="center"/>
        <w:rPr>
          <w:rFonts w:ascii="Arial" w:hAnsi="Arial"/>
          <w:b/>
          <w:color w:val="FFFFFF"/>
          <w:sz w:val="20"/>
          <w:szCs w:val="20"/>
        </w:rPr>
      </w:pPr>
      <w:r>
        <w:rPr>
          <w:rFonts w:ascii="Arial" w:hAnsi="Arial"/>
          <w:b/>
          <w:color w:val="FFFFFF"/>
          <w:sz w:val="20"/>
          <w:szCs w:val="20"/>
        </w:rPr>
        <w:t>✓  Procédure terminée — Poste prêt pour l’utilisateur</w:t>
      </w:r>
    </w:p>
    <w:sectPr w:rsidR="00504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EA"/>
    <w:rsid w:val="00447CCD"/>
    <w:rsid w:val="00504DD3"/>
    <w:rsid w:val="005B39EA"/>
    <w:rsid w:val="008B3145"/>
    <w:rsid w:val="00AE15FB"/>
    <w:rsid w:val="00C1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A44E6"/>
  <w15:chartTrackingRefBased/>
  <w15:docId w15:val="{96B91A53-B18F-490D-BA52-22B37660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39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39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39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39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39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39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39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39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39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39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3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ABIARI Nassim</dc:creator>
  <cp:keywords/>
  <dc:description/>
  <cp:lastModifiedBy>ABIARI Nassim</cp:lastModifiedBy>
  <cp:revision>1</cp:revision>
  <dcterms:created xsi:type="dcterms:W3CDTF">2026-03-20T13:53:00Z</dcterms:created>
  <dcterms:modified xsi:type="dcterms:W3CDTF">2026-03-20T14:06:00Z</dcterms:modified>
</cp:coreProperties>
</file>