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169/3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Mahmoud Pacha</w:t>
        <w:br w:type="textWrapping"/>
        <w:t xml:space="preserve">Rüstem Bey,</w:t>
        <w:br w:type="textWrapping"/>
        <w:t xml:space="preserve">Chargé d’Affaires de la S. P. à Vienne</w:t>
        <w:br w:type="textWrapping"/>
        <w:t xml:space="preserve">provisoirement à Paris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Enregistré</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immédiatement au ministre de la Police le rapport que vous m’avez adressé en date du 25 juin n° 318, concernant le jugement du nommé Bondesio devant les tribunaux Sardes et je m’empresserai de vous expédier aussitôt reçues, les pièces que vous m’avez demandées et que le dit Ministère une invite à ma communication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Monsieur le Chargé d’Affaires, l’assurance de ma considération distinguée.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Mahmoud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Chargé d’Affaires of the Sublime Porte in Vienna,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temporarily in Paris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immediately communicated to the Minister of Police the report which you sent me, dated June 25, No. 318, concerning the trial of the individual named Bondesio before the Sardinian courts, and I shall hasten to forward to you, as soon as they are received, the documents which you requested and which the said Ministry has asked me to communicate.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Sir Chargé d’Affaires, the assurance of my distinguished consideration.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4gBKBL0QjqhsSol1fWqjtH0oQ==">CgMxLjA4AHIhMTZmcllBTFdGUWlKd3pFcUtSZHlVbmFFSjdCdTlvX0Z0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