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Traduction.</w:t>
        <w:br w:type="textWrapping"/>
        <w:t xml:space="preserve">A. N° 2. au N° 430.</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raison de l’urgence, je me suis empressé d’approuver la transmission directe que vous avez cru devoir faire au Cardinal Légat de Bologne de la lettre qui vous avait été adressée par le Chargé d’affaires de la Sublime Porte à Turin concernant l’arrestation de Raffaele Boschi et de Ludovico Alessandro Bastiano, inculpés de fabrication de papier monnaie au préjudice du Gouvernement Ottoman. Et comme le Chargé d’affaires de Turquie à Naples s’est adressé, pour le même objet, à la Nonciature Apostolique de cette ville, j’ai réuni à cette occasion ces demandes et des nouvelles ultérieures sur cette affaire, et en transmettant ainsi le tout au Légat de Bologne, je lui ai montré ma satisfaction pour les mesures que vous avez prises.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Ayant répondu ainsi à la lettre que vous m’avez adressée le 6 de ce mois, je vous réitère maintenant les assurances de ma sincère estime.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Signé J. C. Antonelli.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 No. 2 to No. 430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view of the urgency, I hastened to approve the direct transmission which you deemed it necessary to make to the Cardinal Legate of Bologna of the letter that had been addressed to you by the Chargé d’Affaires of the Sublime Porte in Turin concerning the arrest of Raffaele Boschi and Ludovico Alessandro Bastiano, accused of manufacturing paper money to the detriment of the Ottoman Government.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the Chargé d’Affaires of Turkey in Naples has, for the same purpose, addressed himself to the Apostolic Nunciature of that city, I have, on this occasion, combined these requests with further information on this matter; and in thus transmitting the whole to the Legate of Bologna, I have expressed to him my satisfaction with the measures you have taken.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thus replied to the letter which you addressed to me on the 6th of this month, I now renew to you the assurances of my sincere esteem.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J. C. Antonelli</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C3/Mc8jW6q336L1EiwtCJUHlbQ==">CgMxLjA4AHIhMTNCODQ3OHB4M3oxQU13WFZZZU96bXdzX21nVVlJOGJi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