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à Spitzer Effendi, Chargé d’Affaires à Naples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23 Mars 1859</w:t>
        <w:br w:type="textWrapping"/>
        <w:t xml:space="preserve">N° 2294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Tkiadès, à qui vous aurez bien voulu faire parvenir la lettre ci-incluse, reçoit l’ordre de retourner à Constantinople, voie de Venise et d’Athènes.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Vous aurez donc à lui envoyer les trois mille francs que le correspondant de Mᵉ d’Alléon est autorisé à vous compter pour les frais de route de cet employé.</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 cas où les très bonnes n’auraient pas encore statué définitivement sur l’affaire de Bologne, vous aurez à expédier par la suite au gouvernement impérial le corps du délit de l’affaire en question.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&amp;c. &amp;c.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Spitzer Effendi, Chargé d’Affaires in Naples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23, 1859</w:t>
        <w:br w:type="textWrapping"/>
        <w:t xml:space="preserve">No. 2294</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Tkiades, to whom you will kindly have the enclosed letter delivered, has received orders to return to Constantinople, by way of Venice and Athens.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will therefore arrange to send him the sum of three thousand francs, which the correspondent of Mr. Alleon is authorized to place at your disposal for this employee’s travel expenses.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that the authorities have not yet rendered a final decision on the Bologna affair, you will subsequently forward to the Imperial Government the material evidence (corpus delicti) of the case in question.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BMZpbBCSIK4GB/wU2s8y4ogPcA==">CgMxLjA4AHIhMTVVSGNhbnlqUGxWemE0S3V3TWVDNjJGZzBJZUxsMlNB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