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Excellence Fuad Pacha à Monsieur Tkiadès en mission à Bologne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23 Mars 1859</w:t>
        <w:br w:type="textWrapping"/>
        <w:t xml:space="preserve">N° 2295</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réponse à vos dépêches télégraphiques je vous autorise à quitter Bologne pour retourner à Constantinople, par Venise et Athènes où vous prendrez des informations concernant les autres faussaires. Dans le cas où les tribunaux n’auraient pas encore statué définitivement sur cette affaire de Bologne, je juge qu’en quittant cette ville notre Chargé d’Affaires près la Cour de Naples aura soin de nous expédier par la suite le dossier.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Vous aurez à expédier par la suite au gouvernement impérial le corps du délit de l’affaire en question.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Agréez &amp;c. &amp;c.</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 to Mr. Tkiades on mission in Bologna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March 23, 1859</w:t>
        <w:br w:type="textWrapping"/>
        <w:t xml:space="preserve">No. 2295</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response to your telegraphic dispatches, I authorize you to leave Bologna in order to return to Constantinople, via Venice and Athens, where you will obtain information concerning the other counterfeiters. In the event that the courts have not yet rendered a final decision on this Bologna affair, I consider that, upon your departure from that city, our Chargé d’Affaires at the Court of Naples will ensure that the case file is subsequently forwarded to us.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will subsequently forward to the Imperial Government the material evidence (corpus delicti) of the case in question.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accept, etc.</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9OrDer53v6xfJBK6160bYpuLkg==">CgMxLjA4AHIhMW80QVVrdWxLdFRoXzFGdzVTWEZuWkxSa2k1Y1ZXUVFj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