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Mr. B. Burguez, Consul General à Venise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23 Mars 1859</w:t>
        <w:br w:type="textWrapping"/>
        <w:t xml:space="preserve">N° 2300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Tkiades, employé au Ministère Impérial de la Police, en mission à Bologne, a reçu l’ordre de retourner à Constantinople et de s’arrêter à Venise pour prendre des informations concernant les faussaires de Caimés.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vous le recommandant particulièrement, je vous prie, Monsieur, de lui accorder toutes les facilités dont il aura besoin dans l’accomplissement de sa tâche.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Recevez, &amp;c. &amp;c.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Mr. B. Burguez, Consul General in Venice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23, 1859</w:t>
        <w:br w:type="textWrapping"/>
        <w:t xml:space="preserve">No. 2300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Tkiades, an employee of the Imperial Ministry of Police, on mission in Bologna, has received orders to return to Constantinople and to stop in Venice in order to gather information concerning the counterfeiters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rtl w:val="0"/>
        </w:rPr>
        <w:t xml:space="preserve">particular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recommending him to you, I request, Sir, that you grant him all the assistance he may require in carrying out his task.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etc.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0lrcdh+3LEL2d6PObc7m12VUQ==">CgMxLjA4AHIhMVlmeHZlMUhOYTI0SlkyelIwUUplaG5sRkpOcW5yVkRW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