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Spitzer Effendi, chargé d’affaires à Naples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23 Mars 1859</w:t>
        <w:br w:type="textWrapping"/>
        <w:t xml:space="preserve">N° 2294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Tkiadès, à qui vous voudrez bien faire parvenir la lettre ci-incluse, reçoit l’ordre de retourner à Constantinople </w:t>
      </w:r>
      <w:r w:rsidDel="00000000" w:rsidR="00000000" w:rsidRPr="00000000">
        <w:rPr>
          <w:rFonts w:ascii="Times New Roman" w:cs="Times New Roman" w:eastAsia="Times New Roman" w:hAnsi="Times New Roman"/>
          <w:rtl w:val="0"/>
        </w:rPr>
        <w:t xml:space="preserve">via Venise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d’Athènes. Vous aurez soin de lui envoyer les trois mille francs que le correspondant de M. d’Alléon est autorisé à vous compter pour les frais de route de cet employé.</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cas où les très bonnes n’auraient pas encore statué définitivement sur l’affaire de Bologne, vous aurez à expliquer que la suite au gouvernement impérial le corps de délit de l’affaire en question.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&amp;c. &amp;c.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Spitzer Effendi, Chargé d’Affaires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Naples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23, 1859</w:t>
        <w:br w:type="textWrapping"/>
        <w:t xml:space="preserve">No. 2294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Tkiades, to whom you will kindly forward the enclosed letter, has received orders to return to Constantinople via Venice and Athens. You will take care to send him the sum of three thousand francs, which the correspondent of Mr. Alléon is authorized to place at your disposal for the travel expenses of this employee.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that the authorities have not yet reached a final decision on the Bologna affair, you will explain that the continuation (of the matter) requires that the material evidence of the case be</w:t>
        <w:br w:type="textWrapping"/>
        <w:t xml:space="preserve">transmitted to the Imperial Government.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 etc.</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hl21tCClpZkIifa4sOoeZv1Ng==">CgMxLjA4AHIhMTBNSHRUMXNlWEYxeWNpZnRkeWxFZm15bEFKdjVRb2lj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