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BOA HR.H. 169/5  (Ottoman Archives, Istanbul)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S. E. Fuad Pacha à Spitzer Effendi, Chargé d’Affaires à Naples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6 Avril 1859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N° 2350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(Enregistrée)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J’ai reçu et communiqué au Ministère Impérial de la Police votre rapport, en date du 28 Mars dernier N° 165, ayant pour annexe une copie de l’interrogatoire subi par le faussaire Ulysse Baldini arrêté à Bologne.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 me réserve de vous expédier les copies légalisées des papiers relatifs à ses complices à Constantinople dès que le Ministère de la Police me les aura fait parvenir.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Agréez &amp;c.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Translation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His Excellency Fuad Pasha to Spitzer Effendi, Chargé d’Affaires in Naples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April 6, 1859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No. 2350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(Registered)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have received and communicated to the Imperial Ministry of Police your report dated March 28, No. 165, to which was attached a copy of the interrogation undergone by the counterfeiter</w:t>
        <w:br w:type="textWrapping"/>
        <w:t xml:space="preserve">Ulysse Baldini, arrested in Bologna.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reserve the right to send you the certified copies of the documents relating to his accomplices in Constantinople as soon as the Ministry of Police has forwarded them to me.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Please accept, etc.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T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HPk77X0Xb+IIIoGdWYthaC1w3w==">CgMxLjA4AHIhMWpGTU1KV3Axd2dBdndJTndzMWp3bmRYQzRhd1FZcHJ4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