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 Fuad Pacha à Rüstem Bey Chargé d’Affaires 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24 Avril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2425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viens de transmettre en copie pour son information au Ministère Impérial de la Police le rapport que vous m’avez adressé le 7 Avril N° 495 conjointement à la note verbale que M. le Ministre des Affaires Étrangères vous a adressée au sujet des deux faussaires de Bologne Pietro Nanetti et Raffaele Fabbri.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J’approuve les instructions que vous avez données au même sujet à nos Consuls à Gênes et à Malte et je saisis &amp;c. &amp;c.</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Rüstem Bey Chargé d’Affaires in Turin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April 24, 1859</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2425</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just forwarded, for its information, to the Imperial Ministry of Police a copy of the report that you sent me on April 7, No. 495, together with the verbal note that the Minister of Foreign Affairs addressed to you regarding the two counterfeiters of Bologna, Pietro Nanetti and Raffaele Fabbri.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approve the instructions that you have given on the same matter to our Consuls in Genoa and in Malta, and I take this opportunity, etc. etc.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XkQbtNEpm4FtLK0eaP/lgxdmQ==">CgMxLjA4AHIhMTNBTHcwQVdVRXpZQ1UxZEpvMU5obXhMSHVGeWhfM2NU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