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Confidentielle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27 Avril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2424</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(Enregistré / Tampon)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la lettre confidentielle que vous m’avez écrite pour m’informer d’une circonstance particulière regardant le faux-monnayeur Varallo Pandolfini et de la démarche officieuse que vous avez cru devoir faire auprès de M. le Comte Cavour pour prévenir tout résultat qui serait de nature à entraver l’exécution de la justice.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approuvant entièrement cette démarche j’aime à espérer qu’elle ne manquera pas d’avoir en temps et lieu un effet conforme aux assurances que vous a données au même sujet M. le Ministre</w:t>
        <w:br w:type="textWrapping"/>
        <w:t xml:space="preserve">des Affaires Étrangères.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Recevez, &amp;c. &amp;c. l’expression de ma satisfaction et de ma considération très distinguée.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Confidential</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in Turin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27, 1859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2424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the confidential letter which you wrote to inform me of a particular circumstance concerning the counterfeiter Varallo Pandolfini, and of the unofficial step which you considered it your duty to take with Count Cavour in order to prevent any outcome that might hinder the execution of justice.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fully approving this step, I trust that it will, in due time, produce an effect consistent with the assurances that the Minister of Foreign Affairs has given you on the same subject.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etc., the expression of my satisfaction and of my highest consideration.</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uCyg9F+Yuwg5eOpAw1NlarVtw==">CgMxLjA4AHIhMXdZZVVfN083bkQ4dDJXZkZRLVlMdGdOTEtaUVo3bm5o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