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à Rüstem Bey, Chargé d’Affaires,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Constantinople</w:t>
        <w:br w:type="textWrapping"/>
        <w:t xml:space="preserve">Le 4 Mai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2412</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(Enregistré)</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et communiqué au Ministère de la Police le rapport que vous m’avez adressé le 14 Avril N° 497, parce qu’il m’informe que la Cour suprême de cassation de Turin a rejeté le recours formulé par Venanzi, et pour confirmer l’opinion d’abandonner la question de l’indemnisation admise en principe par la sentence de la Cour.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partageant entièrement votre avis, je vous autorise à ne point soulever cette question qui pourra, certes, occasionner des dépenses inutiles, et </w:t>
      </w:r>
      <w:r w:rsidDel="00000000" w:rsidR="00000000" w:rsidRPr="00000000">
        <w:rPr>
          <w:rFonts w:ascii="Times New Roman" w:cs="Times New Roman" w:eastAsia="Times New Roman" w:hAnsi="Times New Roman"/>
          <w:rtl w:val="0"/>
        </w:rPr>
        <w:t xml:space="preserve">saisir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présente occasion pour vous réitérer, Monsieur le Chargé d’Affaires, les assurances de ma parfaite considération.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Rüstem Bey, Chargé d’Affaires Turin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Constantinople, May 4, 1859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2412</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(Registered)</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 Chargé d’Affaires,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and communicated to the Ministry of Police the report which you sent me on April 14, No. 497, informing me that the Supreme Court of Cassation of Turin has rejected the appeal filed by Venanzi, and confirming the opinion of abandoning the question of compensation which had been admitted in principle by the judgment of the Court.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Sharing entirely your view, I authorize you not to pursue this matter, which could certainly give rise to unnecessary expenses, and I take this opportunity to renew to you, Mr. Chargé d’Affaires,</w:t>
        <w:br w:type="textWrapping"/>
        <w:t xml:space="preserve">the assurances of my highest consideration.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orpS1HYcOPGRy9kB1giiGX53og==">CgMxLjA4AHIhMVlDLWtYeGtiMWxHemh6MFl3OXVBckUzcXJtWlRQaExi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