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à Rüstem Bey, Chargé d’Affaires,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Constantinople, Le 4 Mai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2412</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(Enregistré)</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et communiqué au Ministère de la Police le rapport que vous m’avez adressé le 14 Avril N° 497, parce qu’il m’informe que la Cour suprême de cassation de Turin a rejeté le recours formulé par Venanzi, et pour confirmer l’opinion d’abandonner la question de l’indemnisation admise en principe par la sentence de la Cour.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partageant entièrement votre avis, je vous autorise à ne point soulever cette question qui pourra, certes, occasionner des dépenses inutiles, et </w:t>
      </w:r>
      <w:r w:rsidDel="00000000" w:rsidR="00000000" w:rsidRPr="00000000">
        <w:rPr>
          <w:rFonts w:ascii="Times New Roman" w:cs="Times New Roman" w:eastAsia="Times New Roman" w:hAnsi="Times New Roman"/>
          <w:rtl w:val="0"/>
        </w:rPr>
        <w:t xml:space="preserve">saisir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présente occasion pour vous réitérer, Monsieur le Chargé d’Affaires, les assurances de ma parfaite considération.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Spitzer Effendi in Naples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18, 1859</w:t>
        <w:br w:type="textWrapping"/>
        <w:t xml:space="preserve">No. 2613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(Registered)</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duly received your report of April 15, No. 173, concerning the mission of Mr. Tkiadès</w:t>
        <w:br w:type="textWrapping"/>
        <w:t xml:space="preserve">to Naples and Venice.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regard to the 252 Neapolitan ducats which you had advanced to this employee, you should not charge them to the general expenses of the mission, since the budget of the Ministry of Foreign Affairs must not be burdened with a sum spent for the service of the Ministry of Police.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already taken this matter up with the latter department, which will send you the aforementioned sum through the intermediary of Mr. Alléon.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 etc.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hnxla8PRtirolf20tW/fNltP1w==">CgMxLjA4AHIhMUpOdEwyb1pxTFI4ZkJzVm5iaDdOX2hWandJN245cFM4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