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Son Excellence Fuad Pacha, Ministre des Affaires Étrangères de Sa Majesté Impériale le Sultan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1er Août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237</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Votre Excellence de la note N° 2789 en date du 20 juillet dernier, relative aux pièces que le directeur de la Police de Bologne attend pour terminer la procédure contre les faux caimés et faussaires que j’ai fait arrêter.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n’ai pas manqué d’adresser immédiatement aux autorités de Bologne ces différents documents dont le résumé détaillé du rapport que la Cour d’instruction criminelle de Constantinople a rédigé sur cette affaire.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Veuillez agréer, Excellence, l’assurance du profond respect avec lequel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De Votre Excellence le très humble 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Minister of Foreign Affairs of His Imperial Majesty the Sultan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Naples, August 1, 1859</w:t>
        <w:br w:type="textWrapping"/>
        <w:t xml:space="preserve">No. 237</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of Your Excellency’s note No. 2789, dated July 20 last, concerning the documents which the Director of Police of Bologna is awaiting in order to complete the proceedings against the counterfeit caimés and the counterfeiters whom I have caused to be arrested.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did not fail to forward immediately to the authorities of Bologna these various documents, including the detailed summary of the report drawn up by the Criminal Court of Investigation of Constantinople on this matter.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Excellency, the assurance of the profound respect with which I have the honor to be, Your Excellency’s most humble and most obedient servant,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L+Vej3B48oggtJFeTdjSJdpQA==">CgMxLjA4AHIhMVdzWUVYU2tHRzZiZkFHMVE3U2VyMmNLNDZsenUyVE9W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