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5 Avril 1860.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S. 736</w:t>
        <w:br w:type="textWrapping"/>
        <w:t xml:space="preserve">N° S. 46.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la dépêche que Votre Excellence m’a fait l’honneur de m’adresser en date du 21 Mars dernier, N° 3915 / 30, pour me transmettre la réponse du Ministère Impérial de la Police à mon rapport du 22 février dernier N° 701, relativement à l’affaire des faux monnayeurs de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L’annexion des Romagnes au Piémont ayant désormais placé les autorités de Bologne sous les ordres immédiats du Ministère Royal, je me suis empressé de transmettre à Monsieur le Comte de Cavour tous les détails de cette affaire, de réclamer énergiquement auprès de lui contre la mise en liberté des prévenus, de demander leur réintégration immédiate dans les prisons de l’État et de provoquer l’envoi d’ordres précis et sévères pour que le procès soit repris et poussé avec vigueur.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J’attends de Bologne des informations que j’y ai demandées concernant cette affaire et si j’en vois la nécessité je me rendrai moi-même sur les lieux pour y pousser l’affaire et choisir un homme de loi qui puisse suivre la procédure.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peut être persuadée que je ne négligerai rien pour arriver à la punition des coupables tout en faisant le moins de frais possible.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5 April 1860</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 736</w:t>
        <w:br w:type="textWrapping"/>
        <w:t xml:space="preserve">No. S. 46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the dispatch which Your Excellency was pleased to send me, dated the 21st of last March, No. 3915/30, transmitting the reply of the Imperial Ministry of Police to my report of 22 February last, No. 701, concerning the case of the counterfeiters of Bologna.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annexation of the Romagna to Piedmont having now placed the authorities of Bologna under the direct authority of the Royal Ministry, I hastened to forward to Count Cavour all the details of this affair, to press him strongly against the release of the accused, to request their immediate return to the state prisons, and to urge the issuance of precise and strict orders so that the trial may be resumed and pursued with vigor.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awaiting information from Bologna, which I have requested concerning this matter, and should I deem it necessary, I will go there myself in order to advance the case and select a lawyer who can follow the proceedings.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may be assured that I will neglect nothing in order to bring about the punishment of the guilty, while keeping expenses as low as possible.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Of Your Excellency,</w:t>
        <w:br w:type="textWrapping"/>
        <w:t xml:space="preserve">the most humble</w:t>
        <w:br w:type="textWrapping"/>
        <w:t xml:space="preserve">and most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yzTJaAyD/edT6HqDby9MCy5HQ==">CgMxLjA4AHIhMTMybGhqakEwclY3cVFZZFdqVEhKTEpaQ1FWbmc4Tkpm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