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170/2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Copie.</w:t>
        <w:br w:type="textWrapping"/>
        <w:t xml:space="preserve">Turin, le 17 Mars 1861.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 Bey Chargé d’Affaires de Turquie à Turin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Monsieur le Chargé d’Affaires,</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 mon office du 6 décembre dernier, je vous transmettais une Commission Rogatoire que la Cour d’Appel de Messine adressait à l’Autorité judiciaire à Constantinople dans le but de se procurer de nouveaux renseignements nécessaires pour activer le procès contre les falsificateurs de ca</w:t>
      </w:r>
      <w:r w:rsidDel="00000000" w:rsidR="00000000" w:rsidRPr="00000000">
        <w:rPr>
          <w:rFonts w:ascii="Times New Roman" w:cs="Times New Roman" w:eastAsia="Times New Roman" w:hAnsi="Times New Roman"/>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més. Le Procureur du Roi près ladite Cour m’ayant adressé de nouvelles instances pour avoir une réponse à la commission rogatoire dont il s’agit, je vous prie, Monsieur, de vouloir bien interposer vos bons offices auprès de l’autorité compétente et de me mettre à même de satisfaire le plus tôt possible à la demande de la Cour d’Appel de Messine afin qu’elle puisse statuer sur le sort des détenus.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Veuillez agréer, &amp;c.</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Ministre</w:t>
        <w:br w:type="textWrapping"/>
        <w:t xml:space="preserve">(Signé) Melegari</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Translation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w:t>
        <w:br w:type="textWrapping"/>
        <w:t xml:space="preserve">Turin, March 17, 1861</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 Bey Ottoman Chargé d’Affaires in Turin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 Chargé d’Affaires,</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my note of December 6 last, I transmitted to you a letter rogatory which the Court of Appeal of Messina had addressed to the judicial authorities in Constantinople, with the aim of obtaining new information necessary to expedite the proceedings against the counterfeiters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King’s Public Prosecutor attached to the said Court having addressed to me further requests to obtain a reply to the said letter rogatory, I beg you, Sir, to kindly use your good offices with the competent authority and to enable me to satisfy, as soon as possible, the request of the Court of Appeal of Messina, so that it may be able to decide on the fate of the detainees.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Please accept, etc. The Minister</w:t>
        <w:br w:type="textWrapping"/>
        <w:t xml:space="preserve">(Signed) Melegari</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hRu/vW1VS7HX6ewQXTFbix7VZQ==">CgMxLjA4AHIhMU96bjgtbG9UVjBKMlYwWkx3RjZ6R0VrODFxVnNWdkJt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