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雄脱健康管理系统业务模型设计文档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一、业务领域梳理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系统聚焦于雄激素性脱发（雄脱）患者的全周期健康管理，围绕患者自我管理、用药跟踪、影像记录与效果分析四大核心场景构建。系统仅包含两类角色：患者（使用端）与管理员（管理端），业务领域划分为以下四个核心模块：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患者管理领域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核心价值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：维护患者身份与基础健康档案，支撑后续用药与记录功能。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主要业务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：患者注册、个人信息维护、健康档案建立（如脱发史、家族史）。</w:t>
      </w:r>
      <w:bookmarkEnd w:id="10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用药管理领域</w:t>
      </w:r>
      <w:bookmarkEnd w:id="1007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核心价值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：规范患者用药行为，提升治疗依从性，为效果分析提供数据基础。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主要业务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：用药方案制定（管理员配置）、用药提醒、用药打卡、用药记录查询。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图片记录管理领域</w:t>
      </w:r>
      <w:bookmarkEnd w:id="1010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核心价值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：通过周期性头皮影像记录，直观呈现脱发区域变化，支撑效果评估。</w:t>
      </w:r>
      <w:bookmarkEnd w:id="1011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主要业务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：图片上传（按部位/时间分类）、图片存储、图片对比查看。</w:t>
      </w:r>
      <w:bookmarkEnd w:id="10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分析功能领域</w:t>
      </w:r>
      <w:bookmarkEnd w:id="1013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核心价值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：整合用药与影像数据，生成可视化分析报告，辅助患者与管理者判断治疗效果。</w:t>
      </w:r>
      <w:bookmarkEnd w:id="1014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主要业务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：用药依从性分析、脱发等级趋势分析、效果对比报告生成。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二、业务实体分析</w:t>
      </w:r>
      <w:bookmarkEnd w:id="10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基于系统角色与业务场景，定义以下核心业务实体：</w:t>
      </w:r>
      <w:bookmarkEnd w:id="10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患者管理实体</w:t>
      </w:r>
      <w:bookmarkEnd w:id="1018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患者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：系统核心用户，属性包括患者ID、手机号、昵称、性别、年龄、注册时间、脱发等级（初始）、家族脱发史。</w:t>
      </w:r>
      <w:bookmarkEnd w:id="1019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健康档案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：患者专属健康信息集合，属性包括档案ID、患者ID、脱发时长、既往治疗史、过敏史、当前头皮状况描述。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用药管理实体</w:t>
      </w:r>
      <w:bookmarkEnd w:id="1021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用药方案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：管理员为患者制定的标准化用药计划，属性包括方案ID、方案名称、适用脱发等级、药品列表（JSON格式，含药品名、单次剂量、每日频次）、疗程周期（天）。</w:t>
      </w:r>
      <w:bookmarkEnd w:id="1022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用药记录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：患者每日用药行为的具体记录，属性包括记录ID、患者ID、方案ID、用药日期、是否完成用药、实际用药剂量、备注（如副作用反馈）。</w:t>
      </w:r>
      <w:bookmarkEnd w:id="10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图片记录管理实体</w:t>
      </w:r>
      <w:bookmarkEnd w:id="1024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头皮影像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：患者上传的头皮部位照片，属性包括影像ID、患者ID、拍摄日期、拍摄部位（前额/头顶/侧边）、影像URL、影像类型（初始/复查）。</w:t>
      </w:r>
      <w:bookmarkEnd w:id="1025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影像分组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：按治疗周期对影像进行分类管理，属性包括分组ID、患者ID、分组名称（如“治疗第1个月”）、起始日期、结束日期。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分析功能实体</w:t>
      </w:r>
      <w:bookmarkEnd w:id="1027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分析报告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系统生成的患者治疗效果总结，属性包括报告ID、患者ID、生成日期、分析周期（如“近30天”）、用药依从性（百分比）、脱发等级变化（如“从IV级降至III级”）、影像对比结论（文字描述）、报告状态（待查看/已查看）。</w:t>
      </w:r>
      <w:bookmarkEnd w:id="10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三、业务关系梳理</w:t>
      </w:r>
      <w:bookmarkEnd w:id="10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各业务实体通过以下关系形成完整业务闭环：</w:t>
      </w:r>
      <w:bookmarkEnd w:id="10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患者与核心实体的关系</w:t>
      </w:r>
      <w:bookmarkEnd w:id="1031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1对1关系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：一个“患者”对应一个“健康档案”，档案随患者信息更新而同步。</w:t>
      </w:r>
      <w:bookmarkEnd w:id="1032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1对多关系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：一个“患者”可关联多个“用药记录”（每日一条）、多个“头皮影像”（按周期上传）、多个“分析报告”（按周期生成）。</w:t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用药方案与用药记录的关系</w:t>
      </w:r>
      <w:bookmarkEnd w:id="1034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模板-实例关系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：“用药方案”是管理员预设的模板，“用药记录”是患者根据方案执行的具体实例。</w:t>
      </w:r>
      <w:bookmarkEnd w:id="1035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1对多关系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：一个“用药方案”可生成多条“用药记录”（覆盖整个疗程周期）。</w:t>
      </w:r>
      <w:bookmarkEnd w:id="10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头皮影像与影像分组的关系</w:t>
      </w:r>
      <w:bookmarkEnd w:id="1037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归属关系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：每条“头皮影像”归属于一个“影像分组”，分组按治疗周期（如每月）划分，便于对比同一周期内的影像变化。</w:t>
      </w:r>
      <w:bookmarkEnd w:id="1038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1对多关系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：一个“影像分组”包含多条“头皮影像”（如前额、头顶各一张）。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分析功能与数据源的关系</w:t>
      </w:r>
      <w:bookmarkEnd w:id="1040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数据聚合关系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：“分析报告”聚合“用药记录”（计算依从性）与“头皮影像”（对比等级变化）的数据，形成综合结论。</w:t>
      </w:r>
      <w:bookmarkEnd w:id="1041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触发关系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：当患者完成一个疗程周期（如30天）的用药记录与影像上传后，系统自动生成“分析报告”。</w:t>
      </w:r>
      <w:bookmarkEnd w:id="10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四、完整业务模型总结</w:t>
      </w:r>
      <w:bookmarkEnd w:id="10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本系统以“患者”为核心，通过“用药管理”与“图片记录管理”两大模块收集治疗过程数据，最终由“分析功能”输出效果结论，管理员负责方案配置与数据监管，形成以下业务闭环：</w:t>
      </w:r>
      <w:bookmarkEnd w:id="10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核心业务流程</w:t>
      </w:r>
      <w:bookmarkEnd w:id="1045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患者接入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：患者注册→完善健康档案（含初始脱发等级）→管理员为其分配“用药方案”。</w:t>
      </w:r>
      <w:bookmarkEnd w:id="1046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治疗执行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：患者每日根据方案用药→提交“用药记录”→按周期上传“头皮影像”（如每周一次）。</w:t>
      </w:r>
      <w:bookmarkEnd w:id="1047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效果分析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：系统按周期（如每月）聚合用药记录与影像数据→生成“分析报告”→患者查看报告，管理员监管数据。</w:t>
      </w:r>
      <w:bookmarkEnd w:id="10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关键数据流向</w:t>
      </w:r>
      <w:bookmarkEnd w:id="1049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输入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：患者健康档案、用药方案（管理员配置）、用药记录（患者提交）、头皮影像（患者上传）。</w:t>
      </w:r>
      <w:bookmarkEnd w:id="1050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处理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：用药依从性计算、脱发等级判定（基于影像）、趋势分析（对比历史数据）。</w:t>
      </w:r>
      <w:bookmarkEnd w:id="1051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输出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：分析报告（含依从性、等级变化、影像对比结论）。</w:t>
      </w:r>
      <w:bookmarkEnd w:id="10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模型边界说明</w:t>
      </w:r>
      <w:bookmarkEnd w:id="1053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角色限制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：仅包含患者与管理员，无医生、社区等其他角色，聚焦“自我管理+数据监管”场景。</w:t>
      </w:r>
      <w:bookmarkEnd w:id="1054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功能聚焦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：核心功能为用药跟踪、影像记录与分析，不包含在线问诊、药品购买等扩展功能。</w:t>
      </w:r>
      <w:bookmarkEnd w:id="1055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数据闭环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：所有分析数据均来源于患者自主提交的用药记录与影像，确保数据可追溯、可验证。</w:t>
      </w:r>
      <w:bookmarkEnd w:id="1056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2026-03-30T09:15:16Z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sgLldLOT66k2mF22EKHy+2QNPOQCzkT4p7DfgQ77UFA=","ProduceID":"doc_sgs:a06b3f62-45ee-47d3-9909-3ba54182e71a","ReservedCode2":"sgLldLOT66k2mF22EKHy+2QNPOQCzkT4p7DfgQ77UFA=","PropagateID":"doc_sgs:a06b3f62-45ee-47d3-9909-3ba54182e71a","ContentProducer":"001191440101MA9Y9T4H7A00000"}</vt:lpwstr>
  </property>
</Properties>
</file>