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A0FF"/>
        </w:rPr>
        <w:t>A³-ENDS Forensic Incident Report</w:t>
      </w:r>
    </w:p>
    <w:p>
      <w:pPr>
        <w:jc w:val="center"/>
      </w:pPr>
      <w:r>
        <w:t>Generated: 2026-06-24 18:00 UTC  |  Report ID: 33cf2a0f</w:t>
      </w:r>
    </w:p>
    <w:p/>
    <w:p>
      <w:pPr>
        <w:pStyle w:val="Heading1"/>
      </w:pPr>
      <w:r>
        <w:t>1. Executive Summary</w:t>
      </w:r>
    </w:p>
    <w:p>
      <w:r>
        <w:t xml:space="preserve">### **Intrusion Detection Event Analysis**  </w:t>
        <w:br/>
        <w:br/>
        <w:t xml:space="preserve">#### **1. Executive Summary**  </w:t>
        <w:br/>
        <w:t xml:space="preserve">The intrusion detection event in question lacks critical details such as attack type, severity, risk score, and confidence level. Without this information, it is challenging to assess the nature and validity of the alert. However, as a SOC analyst, it is essential to investigate further to determine whether this is a false positive, a misconfigured alert, or a potential stealthy attack attempting to evade detection.  </w:t>
        <w:br/>
        <w:br/>
        <w:t xml:space="preserve">#### **2. Threat Analysis**  </w:t>
        <w:br/>
        <w:t xml:space="preserve">- **Unknown Attack Type:** The absence of an identified attack type suggests either a benign event, a misconfigured rule, or an advanced evasion technique.  </w:t>
        <w:br/>
        <w:t xml:space="preserve">- **No Severity/Risk Indicators:** Without severity or risk scoring, the event cannot be prioritized effectively. This could indicate a low-risk anomaly or an incomplete detection mechanism.  </w:t>
        <w:br/>
        <w:t xml:space="preserve">- **Lack of Confidence:** A "None" confidence level implies that the detection system could not reliably classify the event, warranting manual review.  </w:t>
        <w:br/>
        <w:br/>
        <w:t xml:space="preserve">#### **3. Potential Impact**  </w:t>
        <w:br/>
        <w:t xml:space="preserve">- **False Positive:** Likely a non-malicious event, but unchecked, it could lead to alert fatigue.  </w:t>
        <w:br/>
        <w:t xml:space="preserve">- **Stealthy Attack:** If malicious, the lack of classification may indicate an adversary using novel or obfuscated techniques.  </w:t>
        <w:br/>
        <w:t xml:space="preserve">- **System Misconfiguration:** Improperly tuned detection rules may generate irrelevant alerts, reducing SOC efficiency.  </w:t>
        <w:br/>
        <w:br/>
        <w:t xml:space="preserve">#### **4. Recommended Actions**  </w:t>
        <w:br/>
        <w:t xml:space="preserve">1. **Triage &amp; Validation:**  </w:t>
        <w:br/>
        <w:t xml:space="preserve">   - Review raw logs and contextual data to determine the event's legitimacy.  </w:t>
        <w:br/>
        <w:t xml:space="preserve">   - Check if the alert correlates with other security events.  </w:t>
        <w:br/>
        <w:t xml:space="preserve">2. **Rule &amp; Signature Review:**  </w:t>
        <w:br/>
        <w:t xml:space="preserve">   - Assess whether the detection rule is properly configured or requires tuning.  </w:t>
        <w:br/>
        <w:t xml:space="preserve">   - Verify if signatures or behavioral models are up to date.  </w:t>
        <w:br/>
        <w:t xml:space="preserve">3. **Enhance Detection:**  </w:t>
        <w:br/>
        <w:t xml:space="preserve">   - If the event is suspicious but unclassified, consider deploying additional monitoring (e.g., EDR, network forensics).  </w:t>
        <w:br/>
        <w:t xml:space="preserve">   - Submit findings to threat intelligence teams for further analysis.  </w:t>
        <w:br/>
        <w:t xml:space="preserve">4. **Documentation &amp; Feedback Loop:**  </w:t>
        <w:br/>
        <w:t xml:space="preserve">   - Log the investigation outcome for future reference.  </w:t>
        <w:br/>
        <w:t xml:space="preserve">   - Provide feedback to improve detection logic and reduce noise.  </w:t>
        <w:br/>
        <w:br/>
        <w:t xml:space="preserve">**Conclusion:** While the event currently lacks actionable details, a structured investigation is necessary to rule out threats and optimize detection capabilities. Continuous tuning and validation are key to maintaining an effective SOC operation.  </w:t>
        <w:br/>
        <w:br/>
        <w:t xml:space="preserve">---  </w:t>
        <w:br/>
        <w:t>Would you like additional details on any specific aspect of this analysis?</w:t>
      </w:r>
    </w:p>
    <w:p>
      <w:pPr>
        <w:pStyle w:val="Heading1"/>
      </w:pPr>
      <w:r>
        <w:t>2. Detection Details</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Detection ID</w:t>
            </w:r>
          </w:p>
        </w:tc>
        <w:tc>
          <w:tcPr>
            <w:tcW w:type="dxa" w:w="4320"/>
          </w:tcPr>
          <w:p>
            <w:r>
              <w:t>N/A</w:t>
            </w:r>
          </w:p>
        </w:tc>
      </w:tr>
      <w:tr>
        <w:tc>
          <w:tcPr>
            <w:tcW w:type="dxa" w:w="4320"/>
          </w:tcPr>
          <w:p>
            <w:r>
              <w:t>Timestamp</w:t>
            </w:r>
          </w:p>
        </w:tc>
        <w:tc>
          <w:tcPr>
            <w:tcW w:type="dxa" w:w="4320"/>
          </w:tcPr>
          <w:p>
            <w:r>
              <w:t>2026-06-24T17:59:55.094335</w:t>
            </w:r>
          </w:p>
        </w:tc>
      </w:tr>
      <w:tr>
        <w:tc>
          <w:tcPr>
            <w:tcW w:type="dxa" w:w="4320"/>
          </w:tcPr>
          <w:p>
            <w:r>
              <w:t>Source IP</w:t>
            </w:r>
          </w:p>
        </w:tc>
        <w:tc>
          <w:tcPr>
            <w:tcW w:type="dxa" w:w="4320"/>
          </w:tcPr>
          <w:p>
            <w:r>
              <w:t>N/A</w:t>
            </w:r>
          </w:p>
        </w:tc>
      </w:tr>
      <w:tr>
        <w:tc>
          <w:tcPr>
            <w:tcW w:type="dxa" w:w="4320"/>
          </w:tcPr>
          <w:p>
            <w:r>
              <w:t>Source Port</w:t>
            </w:r>
          </w:p>
        </w:tc>
        <w:tc>
          <w:tcPr>
            <w:tcW w:type="dxa" w:w="4320"/>
          </w:tcPr>
          <w:p>
            <w:r>
              <w:t>N/A</w:t>
            </w:r>
          </w:p>
        </w:tc>
      </w:tr>
      <w:tr>
        <w:tc>
          <w:tcPr>
            <w:tcW w:type="dxa" w:w="4320"/>
          </w:tcPr>
          <w:p>
            <w:r>
              <w:t>Destination IP</w:t>
            </w:r>
          </w:p>
        </w:tc>
        <w:tc>
          <w:tcPr>
            <w:tcW w:type="dxa" w:w="4320"/>
          </w:tcPr>
          <w:p>
            <w:r>
              <w:t>N/A</w:t>
            </w:r>
          </w:p>
        </w:tc>
      </w:tr>
      <w:tr>
        <w:tc>
          <w:tcPr>
            <w:tcW w:type="dxa" w:w="4320"/>
          </w:tcPr>
          <w:p>
            <w:r>
              <w:t>Dest Port</w:t>
            </w:r>
          </w:p>
        </w:tc>
        <w:tc>
          <w:tcPr>
            <w:tcW w:type="dxa" w:w="4320"/>
          </w:tcPr>
          <w:p>
            <w:r>
              <w:t>N/A</w:t>
            </w:r>
          </w:p>
        </w:tc>
      </w:tr>
      <w:tr>
        <w:tc>
          <w:tcPr>
            <w:tcW w:type="dxa" w:w="4320"/>
          </w:tcPr>
          <w:p>
            <w:r>
              <w:t>Protocol</w:t>
            </w:r>
          </w:p>
        </w:tc>
        <w:tc>
          <w:tcPr>
            <w:tcW w:type="dxa" w:w="4320"/>
          </w:tcPr>
          <w:p>
            <w:r>
              <w:t>N/A</w:t>
            </w:r>
          </w:p>
        </w:tc>
      </w:tr>
      <w:tr>
        <w:tc>
          <w:tcPr>
            <w:tcW w:type="dxa" w:w="4320"/>
          </w:tcPr>
          <w:p>
            <w:r>
              <w:t>Attack Type</w:t>
            </w:r>
          </w:p>
        </w:tc>
        <w:tc>
          <w:tcPr>
            <w:tcW w:type="dxa" w:w="4320"/>
          </w:tcPr>
          <w:p>
            <w:r>
              <w:t>N/A</w:t>
            </w:r>
          </w:p>
        </w:tc>
      </w:tr>
      <w:tr>
        <w:tc>
          <w:tcPr>
            <w:tcW w:type="dxa" w:w="4320"/>
          </w:tcPr>
          <w:p>
            <w:r>
              <w:t>Severity</w:t>
            </w:r>
          </w:p>
        </w:tc>
        <w:tc>
          <w:tcPr>
            <w:tcW w:type="dxa" w:w="4320"/>
          </w:tcPr>
          <w:p>
            <w:r>
              <w:t>N/A</w:t>
            </w:r>
          </w:p>
        </w:tc>
      </w:tr>
      <w:tr>
        <w:tc>
          <w:tcPr>
            <w:tcW w:type="dxa" w:w="4320"/>
          </w:tcPr>
          <w:p>
            <w:r>
              <w:t>Risk Score</w:t>
            </w:r>
          </w:p>
        </w:tc>
        <w:tc>
          <w:tcPr>
            <w:tcW w:type="dxa" w:w="4320"/>
          </w:tcPr>
          <w:p>
            <w:r>
              <w:t>N/A</w:t>
            </w:r>
          </w:p>
        </w:tc>
      </w:tr>
      <w:tr>
        <w:tc>
          <w:tcPr>
            <w:tcW w:type="dxa" w:w="4320"/>
          </w:tcPr>
          <w:p>
            <w:r>
              <w:t>Confidence</w:t>
            </w:r>
          </w:p>
        </w:tc>
        <w:tc>
          <w:tcPr>
            <w:tcW w:type="dxa" w:w="4320"/>
          </w:tcPr>
          <w:p>
            <w:r>
              <w:t>N/A</w:t>
            </w:r>
          </w:p>
        </w:tc>
      </w:tr>
      <w:tr>
        <w:tc>
          <w:tcPr>
            <w:tcW w:type="dxa" w:w="4320"/>
          </w:tcPr>
          <w:p>
            <w:r>
              <w:t>Anomaly Score</w:t>
            </w:r>
          </w:p>
        </w:tc>
        <w:tc>
          <w:tcPr>
            <w:tcW w:type="dxa" w:w="4320"/>
          </w:tcPr>
          <w:p>
            <w:r>
              <w:t>N/A</w:t>
            </w:r>
          </w:p>
        </w:tc>
      </w:tr>
    </w:tbl>
    <w:p/>
    <w:p>
      <w:pPr>
        <w:pStyle w:val="Heading1"/>
      </w:pPr>
      <w:r>
        <w:t>3. SHAP Feature Contributions</w:t>
      </w:r>
    </w:p>
    <w:p>
      <w:r>
        <w:t>SHAP explanation not available for this detection.</w:t>
      </w:r>
    </w:p>
    <w:p/>
    <w:p>
      <w:pPr>
        <w:pStyle w:val="Heading1"/>
      </w:pPr>
      <w:r>
        <w:t>4. Response Actions</w:t>
      </w:r>
    </w:p>
    <w:p>
      <w:r>
        <w:t>No automated response actions were executed.</w:t>
      </w:r>
    </w:p>
    <w:p>
      <w:pPr>
        <w:pStyle w:val="Heading1"/>
      </w:pPr>
      <w:r>
        <w:t>5. Recommendations</w:t>
      </w:r>
    </w:p>
    <w:p>
      <w:r>
        <w:t>1. Verify whether the source IP is an internal or external address.</w:t>
        <w:br/>
        <w:t>2. Check firewall and IDS logs for corroborating events.</w:t>
        <w:br/>
        <w:t>3. If the attack type is confirmed, escalate to the incident response team.</w:t>
        <w:br/>
        <w:t>4. Update threat intelligence feeds with observed IOCs.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