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A0FF"/>
        </w:rPr>
        <w:t>A³-ENDS Forensic Incident Report</w:t>
      </w:r>
    </w:p>
    <w:p>
      <w:pPr>
        <w:jc w:val="center"/>
      </w:pPr>
      <w:r>
        <w:t>Generated: 2026-06-26 05:34 UTC  |  Report ID: 43fd8e05</w:t>
      </w:r>
    </w:p>
    <w:p/>
    <w:p>
      <w:pPr>
        <w:pStyle w:val="Heading1"/>
      </w:pPr>
      <w:r>
        <w:t>1. Executive Summary</w:t>
      </w:r>
    </w:p>
    <w:p>
      <w:r>
        <w:t xml:space="preserve">### **Intrusion Detection Event Analysis**  </w:t>
        <w:br/>
        <w:br/>
        <w:t xml:space="preserve">#### **1. Executive Summary**  </w:t>
        <w:br/>
        <w:t xml:space="preserve">The intrusion detection event provided lacks critical details such as attack type, severity, risk score, and confidence level. Without this information, it is impossible to definitively assess whether this event represents a legitimate security threat or a false positive. Further investigation is required to determine the nature and validity of the alert.  </w:t>
        <w:br/>
        <w:br/>
        <w:t xml:space="preserve">#### **2. Threat Analysis**  </w:t>
        <w:br/>
        <w:t xml:space="preserve">- **Missing Context:** The absence of key indicators (attack type, severity, risk score, confidence) suggests either a misconfigured detection rule, incomplete log data, or a benign event.  </w:t>
        <w:br/>
        <w:t xml:space="preserve">- **Possible Scenarios:**  </w:t>
        <w:br/>
        <w:t xml:space="preserve">  - **False Positive:** The event may be triggered by normal network activity or an improperly tuned detection rule.  </w:t>
        <w:br/>
        <w:t xml:space="preserve">  - **Incomplete Data:** Logs or telemetry may have failed to capture necessary details, obscuring the true nature of the event.  </w:t>
        <w:br/>
        <w:t xml:space="preserve">  - **Stealthy Attack:** In rare cases, advanced threats may evade standard detection mechanisms, resulting in minimal observable data.  </w:t>
        <w:br/>
        <w:br/>
        <w:t xml:space="preserve">#### **3. Potential Impact**  </w:t>
        <w:br/>
        <w:t xml:space="preserve">Without additional context, the potential impact remains unknown. However, if this event is part of a broader attack pattern, risks could include:  </w:t>
        <w:br/>
        <w:t xml:space="preserve">- **Unauthorized Access:** If malicious, this could indicate reconnaissance or initial intrusion attempts.  </w:t>
        <w:br/>
        <w:t xml:space="preserve">- **Operational Disruption:** False positives may lead to unnecessary investigations, wasting SOC resources.  </w:t>
        <w:br/>
        <w:t xml:space="preserve">- **Compliance Risks:** Unresolved or unlogged security events could violate regulatory requirements.  </w:t>
        <w:br/>
        <w:br/>
        <w:t xml:space="preserve">#### **4. Recommended Actions**  </w:t>
        <w:br/>
        <w:t xml:space="preserve">1. **Data Validation:**  </w:t>
        <w:br/>
        <w:t xml:space="preserve">   - Verify sensor/agent functionality to ensure logs are being collected correctly.  </w:t>
        <w:br/>
        <w:t xml:space="preserve">   - Check for correlation with other security events (SIEM, EDR, firewall logs).  </w:t>
        <w:br/>
        <w:t xml:space="preserve">2. **Rule Review:**  </w:t>
        <w:br/>
        <w:t xml:space="preserve">   - Assess the detection rule that triggered this alert for potential tuning or false positives.  </w:t>
        <w:br/>
        <w:t xml:space="preserve">3. **Incident Triage:**  </w:t>
        <w:br/>
        <w:t xml:space="preserve">   - If no additional context is found, document the event as inconclusive but monitor for recurrence.  </w:t>
        <w:br/>
        <w:t xml:space="preserve">4. **Escalation (if needed):**  </w:t>
        <w:br/>
        <w:t xml:space="preserve">   - If similar events occur frequently, escalate to the security engineering team for deeper analysis.  </w:t>
        <w:br/>
        <w:t xml:space="preserve">5. **Continuous Monitoring:**  </w:t>
        <w:br/>
        <w:t xml:space="preserve">   - Implement additional logging or detection enhancements if gaps are identified.  </w:t>
        <w:br/>
        <w:br/>
        <w:t xml:space="preserve">**Conclusion:** Due to insufficient data, this event cannot be classified as malicious or benign at this time. Proactive validation and monitoring are recommended to ensure no undetected threats exist.  </w:t>
        <w:br/>
        <w:br/>
        <w:t xml:space="preserve">---  </w:t>
        <w:br/>
        <w:t>Would you like additional guidance on specific investigative steps or tools to assist in further analysis?</w:t>
      </w:r>
    </w:p>
    <w:p>
      <w:pPr>
        <w:pStyle w:val="Heading1"/>
      </w:pPr>
      <w:r>
        <w:t>2. Detection Details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Detection ID</w:t>
            </w:r>
          </w:p>
        </w:tc>
        <w:tc>
          <w:tcPr>
            <w:tcW w:type="dxa" w:w="4320"/>
          </w:tcPr>
          <w:p>
            <w:r>
              <w:t>N/A</w:t>
            </w:r>
          </w:p>
        </w:tc>
      </w:tr>
      <w:tr>
        <w:tc>
          <w:tcPr>
            <w:tcW w:type="dxa" w:w="4320"/>
          </w:tcPr>
          <w:p>
            <w:r>
              <w:t>Timestamp</w:t>
            </w:r>
          </w:p>
        </w:tc>
        <w:tc>
          <w:tcPr>
            <w:tcW w:type="dxa" w:w="4320"/>
          </w:tcPr>
          <w:p>
            <w:r>
              <w:t>2026-06-26T05:33:51.882426</w:t>
            </w:r>
          </w:p>
        </w:tc>
      </w:tr>
      <w:tr>
        <w:tc>
          <w:tcPr>
            <w:tcW w:type="dxa" w:w="4320"/>
          </w:tcPr>
          <w:p>
            <w:r>
              <w:t>Source IP</w:t>
            </w:r>
          </w:p>
        </w:tc>
        <w:tc>
          <w:tcPr>
            <w:tcW w:type="dxa" w:w="4320"/>
          </w:tcPr>
          <w:p>
            <w:r>
              <w:t>N/A</w:t>
            </w:r>
          </w:p>
        </w:tc>
      </w:tr>
      <w:tr>
        <w:tc>
          <w:tcPr>
            <w:tcW w:type="dxa" w:w="4320"/>
          </w:tcPr>
          <w:p>
            <w:r>
              <w:t>Source Port</w:t>
            </w:r>
          </w:p>
        </w:tc>
        <w:tc>
          <w:tcPr>
            <w:tcW w:type="dxa" w:w="4320"/>
          </w:tcPr>
          <w:p>
            <w:r>
              <w:t>N/A</w:t>
            </w:r>
          </w:p>
        </w:tc>
      </w:tr>
      <w:tr>
        <w:tc>
          <w:tcPr>
            <w:tcW w:type="dxa" w:w="4320"/>
          </w:tcPr>
          <w:p>
            <w:r>
              <w:t>Destination IP</w:t>
            </w:r>
          </w:p>
        </w:tc>
        <w:tc>
          <w:tcPr>
            <w:tcW w:type="dxa" w:w="4320"/>
          </w:tcPr>
          <w:p>
            <w:r>
              <w:t>N/A</w:t>
            </w:r>
          </w:p>
        </w:tc>
      </w:tr>
      <w:tr>
        <w:tc>
          <w:tcPr>
            <w:tcW w:type="dxa" w:w="4320"/>
          </w:tcPr>
          <w:p>
            <w:r>
              <w:t>Dest Port</w:t>
            </w:r>
          </w:p>
        </w:tc>
        <w:tc>
          <w:tcPr>
            <w:tcW w:type="dxa" w:w="4320"/>
          </w:tcPr>
          <w:p>
            <w:r>
              <w:t>N/A</w:t>
            </w:r>
          </w:p>
        </w:tc>
      </w:tr>
      <w:tr>
        <w:tc>
          <w:tcPr>
            <w:tcW w:type="dxa" w:w="4320"/>
          </w:tcPr>
          <w:p>
            <w:r>
              <w:t>Protocol</w:t>
            </w:r>
          </w:p>
        </w:tc>
        <w:tc>
          <w:tcPr>
            <w:tcW w:type="dxa" w:w="4320"/>
          </w:tcPr>
          <w:p>
            <w:r>
              <w:t>N/A</w:t>
            </w:r>
          </w:p>
        </w:tc>
      </w:tr>
      <w:tr>
        <w:tc>
          <w:tcPr>
            <w:tcW w:type="dxa" w:w="4320"/>
          </w:tcPr>
          <w:p>
            <w:r>
              <w:t>Attack Type</w:t>
            </w:r>
          </w:p>
        </w:tc>
        <w:tc>
          <w:tcPr>
            <w:tcW w:type="dxa" w:w="4320"/>
          </w:tcPr>
          <w:p>
            <w:r>
              <w:t>N/A</w:t>
            </w:r>
          </w:p>
        </w:tc>
      </w:tr>
      <w:tr>
        <w:tc>
          <w:tcPr>
            <w:tcW w:type="dxa" w:w="4320"/>
          </w:tcPr>
          <w:p>
            <w:r>
              <w:t>Severity</w:t>
            </w:r>
          </w:p>
        </w:tc>
        <w:tc>
          <w:tcPr>
            <w:tcW w:type="dxa" w:w="4320"/>
          </w:tcPr>
          <w:p>
            <w:r>
              <w:t>N/A</w:t>
            </w:r>
          </w:p>
        </w:tc>
      </w:tr>
      <w:tr>
        <w:tc>
          <w:tcPr>
            <w:tcW w:type="dxa" w:w="4320"/>
          </w:tcPr>
          <w:p>
            <w:r>
              <w:t>Risk Score</w:t>
            </w:r>
          </w:p>
        </w:tc>
        <w:tc>
          <w:tcPr>
            <w:tcW w:type="dxa" w:w="4320"/>
          </w:tcPr>
          <w:p>
            <w:r>
              <w:t>N/A</w:t>
            </w:r>
          </w:p>
        </w:tc>
      </w:tr>
      <w:tr>
        <w:tc>
          <w:tcPr>
            <w:tcW w:type="dxa" w:w="4320"/>
          </w:tcPr>
          <w:p>
            <w:r>
              <w:t>Confidence</w:t>
            </w:r>
          </w:p>
        </w:tc>
        <w:tc>
          <w:tcPr>
            <w:tcW w:type="dxa" w:w="4320"/>
          </w:tcPr>
          <w:p>
            <w:r>
              <w:t>N/A</w:t>
            </w:r>
          </w:p>
        </w:tc>
      </w:tr>
      <w:tr>
        <w:tc>
          <w:tcPr>
            <w:tcW w:type="dxa" w:w="4320"/>
          </w:tcPr>
          <w:p>
            <w:r>
              <w:t>Anomaly Score</w:t>
            </w:r>
          </w:p>
        </w:tc>
        <w:tc>
          <w:tcPr>
            <w:tcW w:type="dxa" w:w="4320"/>
          </w:tcPr>
          <w:p>
            <w:r>
              <w:t>N/A</w:t>
            </w:r>
          </w:p>
        </w:tc>
      </w:tr>
    </w:tbl>
    <w:p/>
    <w:p>
      <w:pPr>
        <w:pStyle w:val="Heading1"/>
      </w:pPr>
      <w:r>
        <w:t>3. SHAP Feature Contributions</w:t>
      </w:r>
    </w:p>
    <w:p>
      <w:r>
        <w:t>SHAP explanation not available for this detection.</w:t>
      </w:r>
    </w:p>
    <w:p/>
    <w:p>
      <w:pPr>
        <w:pStyle w:val="Heading1"/>
      </w:pPr>
      <w:r>
        <w:t>4. Response Actions</w:t>
      </w:r>
    </w:p>
    <w:p>
      <w:r>
        <w:t>No automated response actions were executed.</w:t>
      </w:r>
    </w:p>
    <w:p>
      <w:pPr>
        <w:pStyle w:val="Heading1"/>
      </w:pPr>
      <w:r>
        <w:t>5. Recommendations</w:t>
      </w:r>
    </w:p>
    <w:p>
      <w:r>
        <w:t>1. Verify whether the source IP is an internal or external address.</w:t>
        <w:br/>
        <w:t>2. Check firewall and IDS logs for corroborating events.</w:t>
        <w:br/>
        <w:t>3. If the attack type is confirmed, escalate to the incident response team.</w:t>
        <w:br/>
        <w:t>4. Update threat intelligence feeds with observed IOCs.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