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20" w:before="2400"/>
      </w:pPr>
      <w:r>
        <w:t xml:space="preserve">Implementation Guide</w:t>
      </w:r>
    </w:p>
    <w:p>
      <w:pPr>
        <w:pStyle w:val="Subtitle"/>
      </w:pPr>
      <w:r>
        <w:t xml:space="preserve">Self-Service VM Provisioning &amp; Guest Customization on VCF 9.1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Solution: </w:t>
      </w:r>
      <w:r>
        <w:rPr>
          <w:sz w:val="20"/>
          <w:szCs w:val="20"/>
        </w:rPr>
        <w:t xml:space="preserve">Self-Service VM Provisioning &amp; Guest Customization</w:t>
      </w:r>
    </w:p>
    <w:p>
      <w:pPr>
        <w:spacing w:after="60"/>
      </w:pPr>
      <w:r>
        <w:rPr>
          <w:b/>
          <w:bCs/>
          <w:sz w:val="20"/>
          <w:szCs w:val="20"/>
        </w:rPr>
        <w:t xml:space="preserve">Platform: </w:t>
      </w:r>
      <w:r>
        <w:rPr>
          <w:sz w:val="20"/>
          <w:szCs w:val="20"/>
        </w:rPr>
        <w:t xml:space="preserve">VMware Cloud Foundation 9.1 (VCFA, vRO, vSphere, Service Broker)</w:t>
      </w:r>
    </w:p>
    <w:p>
      <w:pPr>
        <w:spacing w:after="60"/>
      </w:pPr>
      <w:r>
        <w:rPr>
          <w:b/>
          <w:bCs/>
          <w:sz w:val="20"/>
          <w:szCs w:val="20"/>
        </w:rPr>
        <w:t xml:space="preserve">Document version: </w:t>
      </w:r>
      <w:r>
        <w:rPr>
          <w:sz w:val="20"/>
          <w:szCs w:val="20"/>
        </w:rPr>
        <w:t xml:space="preserve">1.0</w:t>
      </w:r>
    </w:p>
    <w:p>
      <w:pPr>
        <w:spacing w:after="6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June 2026</w:t>
      </w:r>
    </w:p>
    <w:p>
      <w:pPr>
        <w:spacing w:after="60"/>
      </w:pPr>
      <w:r>
        <w:rPr>
          <w:b/>
          <w:bCs/>
          <w:sz w:val="20"/>
          <w:szCs w:val="20"/>
        </w:rPr>
        <w:t xml:space="preserve">Audience: </w:t>
      </w:r>
      <w:r>
        <w:rPr>
          <w:sz w:val="20"/>
          <w:szCs w:val="20"/>
        </w:rPr>
        <w:t xml:space="preserve">Customer stakeholders (business &amp; operations)</w:t>
      </w:r>
    </w:p>
    <w:p>
      <w:r>
        <w:br w:type="page"/>
      </w:r>
    </w:p>
    <w:p>
      <w:pPr>
        <w:pStyle w:val="Heading1"/>
      </w:pPr>
      <w:r>
        <w:t xml:space="preserve">1. Prerequisites</w:t>
      </w:r>
    </w:p>
    <w:p>
      <w:pPr>
        <w:pStyle w:val="Heading2"/>
      </w:pPr>
      <w:r>
        <w:t xml:space="preserve">1.1 Platform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VCF 9.1 with VCFA, vRO (VCF Operations Orchestrator), Service Broker, and vSphere operational.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vCenter and ESXi endpoints registered in vRO.</w:t>
      </w:r>
    </w:p>
    <w:p>
      <w:pPr>
        <w:pStyle w:val="Heading2"/>
      </w:pPr>
      <w:r>
        <w:t xml:space="preserve">1.2 vRO configuration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Configuration Element created to hold all credentials (bootstrap admin, target account, etc.). No hardcoded credentials in code.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ESXi self-signed certificates imported into the vRO SSL Trust Manager (required for </w:t>
      </w:r>
      <w:r>
        <w:rPr>
          <w:rFonts w:ascii="Consolas" w:cs="Consolas" w:eastAsia="Consolas" w:hAnsi="Consolas"/>
          <w:sz w:val="19"/>
          <w:szCs w:val="19"/>
        </w:rPr>
        <w:t xml:space="preserve">initiateFileTransferToGuest</w:t>
      </w:r>
      <w:r>
        <w:t xml:space="preserve"> against ESXi-hosted URLs).</w:t>
      </w:r>
    </w:p>
    <w:p>
      <w:pPr>
        <w:pStyle w:val="Heading2"/>
      </w:pPr>
      <w:r>
        <w:t xml:space="preserve">1.3 Templates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onsolas" w:cs="Consolas" w:eastAsia="Consolas" w:hAnsi="Consolas"/>
          <w:sz w:val="19"/>
          <w:szCs w:val="19"/>
        </w:rPr>
        <w:t xml:space="preserve">disk.EnableUUID = TRUE</w:t>
      </w:r>
      <w:r>
        <w:t xml:space="preserve"> set on base images used by the Windows pipeline.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SCSI controller type assigned in the cloud template where possible.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VMware Tools present in templates (required to satisfy the guest-readiness gate).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For the Linux pipeline: a throwaway OS template available to satisfy the guest-up gate before reshaping.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4E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 xml:space="preserve">Type declaration constraint</w:t>
            </w:r>
          </w:p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VC:GuestAuthentication and VcNamePasswordAuthentication are not selectable as bindable attribute types in this vRO build. Declare these attributes as Any.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2. Implementation Steps</w:t>
      </w:r>
    </w:p>
    <w:p>
      <w:pPr>
        <w:pStyle w:val="Heading2"/>
      </w:pPr>
      <w:r>
        <w:t xml:space="preserve">2.1 Import the workflow package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Import the vRO package containing the parent and child workflows and supporting actions.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Verify workflows appear under Library / Production / VCF Automation / VM Deployments, with helpers under .../Helpers.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Confirm action modules are present: com.broadcom.pso.vcfa.customforms, com.broadcom.pso.vcfa.vm.guestScripting, com.broadcom.pso.vcfa.vm.diskManagement.</w:t>
      </w:r>
    </w:p>
    <w:p>
      <w:pPr>
        <w:pStyle w:val="Heading2"/>
      </w:pPr>
      <w:r>
        <w:t xml:space="preserve">2.2 Configure credentials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Populate the vRO Configuration Element with required credential values.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Bind workflow credential inputs to the Configuration Element (not literals).</w:t>
      </w:r>
    </w:p>
    <w:p>
      <w:pPr>
        <w:pStyle w:val="Heading2"/>
      </w:pPr>
      <w:r>
        <w:t xml:space="preserve">2.3 Establish ESXi trust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Import each ESXi host certificate into the vRO SSL Trust Manager.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Validate trust by running a guest file-transfer test workflow against a known VM.</w:t>
      </w:r>
    </w:p>
    <w:p>
      <w:pPr>
        <w:pStyle w:val="Heading2"/>
      </w:pPr>
      <w:r>
        <w:t xml:space="preserve">2.4 Create Extensibility subscriptions</w:t>
      </w:r>
    </w:p>
    <w:p>
      <w:pPr>
        <w:spacing w:after="120" w:line="276"/>
      </w:pPr>
      <w:r>
        <w:t xml:space="preserve">Create two subscriptions under Extensibility → Subscriptions, both on the Compute post provision topic, blocking, priority 10.</w:t>
      </w:r>
    </w:p>
    <w:p>
      <w:pPr>
        <w:pStyle w:val="Heading3"/>
      </w:pPr>
      <w:r>
        <w:t xml:space="preserve">Windows — Customize Windows OS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Condition: </w:t>
      </w:r>
      <w:r>
        <w:rPr>
          <w:rFonts w:ascii="Consolas" w:cs="Consolas" w:eastAsia="Consolas" w:hAnsi="Consolas"/>
          <w:sz w:val="19"/>
          <w:szCs w:val="19"/>
        </w:rPr>
        <w:t xml:space="preserve">event.data.customProperties.osType == "windows"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Action/workflow: </w:t>
      </w:r>
      <w:r>
        <w:t xml:space="preserve">Customize Windows VM Guest.</w:t>
      </w:r>
    </w:p>
    <w:p>
      <w:pPr>
        <w:pStyle w:val="Heading3"/>
      </w:pPr>
      <w:r>
        <w:t xml:space="preserve">Linux — Prepare Linux Shell VM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Condition: </w:t>
      </w:r>
      <w:r>
        <w:rPr>
          <w:rFonts w:ascii="Consolas" w:cs="Consolas" w:eastAsia="Consolas" w:hAnsi="Consolas"/>
          <w:sz w:val="19"/>
          <w:szCs w:val="19"/>
        </w:rPr>
        <w:t xml:space="preserve">event.data.customProperties.osType !== "windows"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Action/workflow: </w:t>
      </w:r>
      <w:r>
        <w:t xml:space="preserve">Prepare Linux VM Shell.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4E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 xml:space="preserve">Verify mutually exclusive conditions</w:t>
            </w:r>
          </w:p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The two conditions must not both match the same event. The Windows condition matches osType == "windows"; the Linux condition matches everything else. Confirm osType is populated for all in-scope catalog items, or a VM could match neither.</w:t>
            </w:r>
          </w:p>
        </w:tc>
      </w:tr>
    </w:tbl>
    <w:p>
      <w:pPr>
        <w:pStyle w:val="Heading2"/>
      </w:pPr>
      <w:r>
        <w:t xml:space="preserve">2.5 Publish catalog items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Configure the cloud templates (Windows guest, Linux shell) and their input forms.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Attach custom form actions (e.g. getIsoList) to the relevant form fields.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Release versions and publish to Service Broker.</w:t>
      </w:r>
    </w:p>
    <w:p>
      <w:r>
        <w:br w:type="page"/>
      </w:r>
    </w:p>
    <w:p>
      <w:pPr>
        <w:pStyle w:val="Heading1"/>
      </w:pPr>
      <w:r>
        <w:t xml:space="preserve">3. Configuration Details</w:t>
      </w:r>
    </w:p>
    <w:p>
      <w:pPr>
        <w:pStyle w:val="Heading2"/>
      </w:pPr>
      <w:r>
        <w:t xml:space="preserve">3.1 Windows data-disk matching</w:t>
      </w:r>
    </w:p>
    <w:p>
      <w:pPr>
        <w:spacing w:after="120" w:line="276"/>
      </w:pPr>
      <w:r>
        <w:t xml:space="preserve">Guest disk identification relies on UUID normalization. Windows exposes VMDK UUIDs without dashes and lowercase: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// Normalize both sides before matching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$normalized = ($serial -replace '[-:]','').ToLower()</w:t>
            </w:r>
          </w:p>
        </w:tc>
      </w:tr>
    </w:tbl>
    <w:p>
      <w:pPr>
        <w:spacing w:after="120" w:line="276"/>
      </w:pPr>
      <w:r>
        <w:t xml:space="preserve">VCFA </w:t>
      </w:r>
      <w:r>
        <w:rPr>
          <w:rFonts w:ascii="Consolas" w:cs="Consolas" w:eastAsia="Consolas" w:hAnsi="Consolas"/>
          <w:sz w:val="19"/>
          <w:szCs w:val="19"/>
        </w:rPr>
        <w:t xml:space="preserve">dataDisks</w:t>
      </w:r>
      <w:r>
        <w:t xml:space="preserve"> custom property arrives double-encoded: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var d = inputProperties.customProperties.dataDisks;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if (typeof d === 'string') d = JSON.parse(d);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if (typeof d === 'string') d = JSON.parse(d);  // double-encoded</w:t>
            </w:r>
          </w:p>
        </w:tc>
      </w:tr>
    </w:tbl>
    <w:p>
      <w:pPr>
        <w:pStyle w:val="Heading2"/>
      </w:pPr>
      <w:r>
        <w:t xml:space="preserve">3.2 Guest operations correctness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Concern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Correct usage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REST request body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createRequest(method, url, content) — body is the third argument. setContent does not exist.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Process listing pids arg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Pass null or a JS array — never a java.util.ArrayList.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Start a guest program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startProgramInGuest (not startProgram).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Guest operations path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vm.sdkConnection.guestOperationsManager (do not walk serviceInstance.content).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Interactive session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VcNamePasswordAuthentication.interactiveSession = false (always explicit).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Iteration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Use standard for; for each is deprecated.</w:t>
            </w:r>
          </w:p>
        </w:tc>
      </w:tr>
    </w:tbl>
    <w:p>
      <w:pPr>
        <w:pStyle w:val="Heading2"/>
      </w:pPr>
      <w:r>
        <w:t xml:space="preserve">3.3 Linux boot-disk reshape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Use </w:t>
      </w:r>
      <w:r>
        <w:rPr>
          <w:rFonts w:ascii="Consolas" w:cs="Consolas" w:eastAsia="Consolas" w:hAnsi="Consolas"/>
          <w:sz w:val="19"/>
          <w:szCs w:val="19"/>
        </w:rPr>
        <w:t xml:space="preserve">capacityInKB</w:t>
      </w:r>
      <w:r>
        <w:t xml:space="preserve"> (exact capitalization).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Declare per-scope loop variables (</w:t>
      </w:r>
      <w:r>
        <w:rPr>
          <w:rFonts w:ascii="Consolas" w:cs="Consolas" w:eastAsia="Consolas" w:hAnsi="Consolas"/>
          <w:sz w:val="19"/>
          <w:szCs w:val="19"/>
        </w:rPr>
        <w:t xml:space="preserve">var i</w:t>
      </w:r>
      <w:r>
        <w:t xml:space="preserve">) to avoid scope leakage.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Await the power-off task before reconfigure; do not fire-and-forget.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Resolve SCSI controllers via the four concrete subclasses, not the abstract </w:t>
      </w:r>
      <w:r>
        <w:rPr>
          <w:rFonts w:ascii="Consolas" w:cs="Consolas" w:eastAsia="Consolas" w:hAnsi="Consolas"/>
          <w:sz w:val="19"/>
          <w:szCs w:val="19"/>
        </w:rPr>
        <w:t xml:space="preserve">VcVirtualSCSIController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Delete and recreate the boot disk as two separate </w:t>
      </w:r>
      <w:r>
        <w:rPr>
          <w:rFonts w:ascii="Consolas" w:cs="Consolas" w:eastAsia="Consolas" w:hAnsi="Consolas"/>
          <w:sz w:val="19"/>
          <w:szCs w:val="19"/>
        </w:rPr>
        <w:t xml:space="preserve">reconfigVM_Task</w:t>
      </w:r>
      <w:r>
        <w:t xml:space="preserve"> calls.</w:t>
      </w:r>
    </w:p>
    <w:p>
      <w:pPr>
        <w:pStyle w:val="Heading2"/>
      </w:pPr>
      <w:r>
        <w:t xml:space="preserve">3.4 Transient REST hosts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Configure host properties before calling </w:t>
      </w:r>
      <w:r>
        <w:rPr>
          <w:rFonts w:ascii="Consolas" w:cs="Consolas" w:eastAsia="Consolas" w:hAnsi="Consolas"/>
          <w:sz w:val="19"/>
          <w:szCs w:val="19"/>
        </w:rPr>
        <w:t xml:space="preserve">RESTHostManager.reloadConfiguration()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Clean up transient hosts in a </w:t>
      </w:r>
      <w:r>
        <w:rPr>
          <w:rFonts w:ascii="Consolas" w:cs="Consolas" w:eastAsia="Consolas" w:hAnsi="Consolas"/>
          <w:sz w:val="19"/>
          <w:szCs w:val="19"/>
        </w:rPr>
        <w:t xml:space="preserve">finally</w:t>
      </w:r>
      <w:r>
        <w:t xml:space="preserve"> block.</w:t>
      </w:r>
    </w:p>
    <w:p>
      <w:r>
        <w:br w:type="page"/>
      </w:r>
    </w:p>
    <w:p>
      <w:pPr>
        <w:pStyle w:val="Heading1"/>
      </w:pPr>
      <w:r>
        <w:t xml:space="preserve">4. Version-Specific Considerations (VCF 9.1)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Blank/imageless VMs do not reach compute.provision.post; the Linux pipeline deploys a throwaway OS template to satisfy the guest-up gate, observed to fire post-provision only after the guest-readiness wait.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Abstract SCSI controller type does not match concrete subtypes in the Rhino/plugin context; enumerate concrete subclasses.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VCFA Secrets mapped to VM custom properties surface as plain text in the extensibility payload.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VCFA customization specs blank the local Administrator password on linked-clone sysprep; set it explicitly in the spec.</w:t>
      </w:r>
    </w:p>
    <w:p>
      <w:pPr>
        <w:pStyle w:val="Heading1"/>
      </w:pPr>
      <w:r>
        <w:t xml:space="preserve">5. Validation &amp; Testing</w:t>
      </w:r>
    </w:p>
    <w:p>
      <w:pPr>
        <w:pStyle w:val="Heading2"/>
      </w:pPr>
      <w:r>
        <w:t xml:space="preserve">5.1 Windows pipeline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Deploy a Windows catalog item with one or more data disks and an admin-rename input.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Confirm CD drive letter is set, freeing the intended data-disk letter.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Confirm the local Administrator account is renamed and the password is set.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Confirm each data disk is initialized, formatted, and mounted at the expected letter.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Review the vRO run log; confirm no credential values appear in any log line.</w:t>
      </w:r>
    </w:p>
    <w:p>
      <w:pPr>
        <w:pStyle w:val="Heading2"/>
      </w:pPr>
      <w:r>
        <w:t xml:space="preserve">5.2 Linux pipeline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Deploy a Linux shell catalog item selecting an ISO via the form.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Confirm the throwaway template deploys and post-provision fires.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Confirm the VM powers off, the boot disk is recreated as blank, and the ISO is attached as CD-ROM.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Confirm the VM boots from ISO and presents the OS installer.</w:t>
      </w:r>
    </w:p>
    <w:p>
      <w:pPr>
        <w:pStyle w:val="Heading2"/>
      </w:pPr>
      <w:r>
        <w:t xml:space="preserve">5.3 Subscription routing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Deploy one Windows and one non-Windows request; confirm each triggers only its intended workflow.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Inspect Workflow Runs to confirm exactly one workflow fired per deployment.</w:t>
      </w:r>
    </w:p>
    <w:p>
      <w:r>
        <w:br w:type="page"/>
      </w:r>
    </w:p>
    <w:p>
      <w:pPr>
        <w:pStyle w:val="Heading1"/>
      </w:pPr>
      <w:r>
        <w:t xml:space="preserve">6. Rollback Considerations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Disable the relevant Extensibility subscription to stop new customization runs without removing workflows.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Failed in-flight deployments are destroyed by VCFA; no partial-state cleanup is required by design.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Workflow package versions are retained in vRO; revert by re-importing the prior package version.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VCFA subscriptions retain version history; revert configuration via Version History on the subscription.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Unpublish or deactivate catalog items in Service Broker to remove user access during rollback.</w:t>
      </w:r>
    </w:p>
    <w:p>
      <w:pPr>
        <w:pStyle w:val="Heading1"/>
      </w:pPr>
      <w:r>
        <w:t xml:space="preserve">7. Production Cutover Checklist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2580"/>
        <w:gridCol w:w="2980"/>
      </w:tblGrid>
      <w:tr>
        <w:trPr>
          <w:tblHeader/>
        </w:trP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Lab</w:t>
            </w:r>
          </w:p>
        </w:tc>
        <w:tc>
          <w:tcPr>
            <w:tcW w:type="dxa" w:w="2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Production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Cluster lookup in getClusterList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getAllResourcePools()</w:t>
            </w:r>
          </w:p>
        </w:tc>
        <w:tc>
          <w:tcPr>
            <w:tcW w:type="dxa" w:w="2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getAllClusterComputeResources()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Blueprint image binding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image: (direct)</w:t>
            </w:r>
          </w:p>
        </w:tc>
        <w:tc>
          <w:tcPr>
            <w:tcW w:type="dxa" w:w="2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imageRef: (linked clone)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new-vm-admin-password sourcing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TBD</w:t>
            </w:r>
          </w:p>
        </w:tc>
        <w:tc>
          <w:tcPr>
            <w:tcW w:type="dxa" w:w="2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Per security team decision (org Secret vs per-deployment)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Linux pipeline E2E test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Pending</w:t>
            </w:r>
          </w:p>
        </w:tc>
        <w:tc>
          <w:tcPr>
            <w:tcW w:type="dxa" w:w="2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Required complete before enablement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Credential logging review</w:t>
            </w:r>
          </w:p>
        </w:tc>
        <w:tc>
          <w:tcPr>
            <w:tcW w:type="dxa" w:w="2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Required per release</w:t>
            </w:r>
          </w:p>
        </w:tc>
        <w:tc>
          <w:tcPr>
            <w:tcW w:type="dxa" w:w="2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20"/>
                <w:szCs w:val="20"/>
              </w:rPr>
              <w:t xml:space="preserve">Required per release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6"/>
        <w:szCs w:val="16"/>
      </w:rPr>
      <w:t xml:space="preserve">VCF Self-Service VM Provisioning  —  Confidential  —  Page </w:t>
    </w:r>
    <w:r>
      <w:rPr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95959"/>
        <w:sz w:val="16"/>
        <w:szCs w:val="16"/>
      </w:rPr>
      <w:t xml:space="preserve"> of </w:t>
    </w:r>
    <w:r>
      <w:rPr>
        <w:color w:val="59595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4"/>
      </w:pBdr>
      <w:jc w:val="right"/>
    </w:pPr>
    <w:r>
      <w:rPr>
        <w:color w:val="595959"/>
        <w:sz w:val="16"/>
        <w:szCs w:val="16"/>
      </w:rPr>
      <w:t xml:space="preserve">Implementation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  <w:lvl w:ilvl="1" w15:tentative="1">
      <w:start w:val="1"/>
      <w:numFmt w:val="bullet"/>
      <w:lvlText w:val="◦"/>
      <w:lvlJc w:val="left"/>
      <w:pPr>
        <w:ind w:left="108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7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120" w:before="0"/>
    </w:pPr>
    <w:rPr>
      <w:rFonts w:ascii="Arial" w:cs="Arial" w:eastAsia="Arial" w:hAnsi="Arial"/>
      <w:b/>
      <w:bCs/>
      <w:color w:val="1F4E79"/>
      <w:sz w:val="52"/>
      <w:szCs w:val="52"/>
    </w:rPr>
  </w:style>
  <w:style w:type="paragraph" w:styleId="Subtitle">
    <w:name w:val="Subtitle"/>
    <w:basedOn w:val="Normal"/>
    <w:next w:val="Normal"/>
    <w:pPr>
      <w:spacing w:after="360" w:before="0"/>
    </w:pPr>
    <w:rPr>
      <w:rFonts w:ascii="Arial" w:cs="Arial" w:eastAsia="Arial" w:hAnsi="Arial"/>
      <w:color w:val="595959"/>
      <w:sz w:val="26"/>
      <w:szCs w:val="26"/>
    </w:rPr>
  </w:style>
  <w:style w:type="paragraph" w:styleId="Heading1">
    <w:name w:val="Heading 1"/>
    <w:basedOn w:val="Normal"/>
    <w:next w:val="Normal"/>
    <w:qFormat/>
    <w:pPr>
      <w:pBdr>
        <w:bottom w:val="single" w:color="2E75B6" w:sz="6" w:space="4"/>
      </w:pBdr>
      <w:spacing w:after="160" w:before="320"/>
      <w:outlineLvl w:val="0"/>
    </w:pPr>
    <w:rPr>
      <w:rFonts w:ascii="Arial" w:cs="Arial" w:eastAsia="Arial" w:hAnsi="Arial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333333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2026-06-15T18:14:14.205Z</dcterms:created>
  <dcterms:modified xsi:type="dcterms:W3CDTF">2026-06-15T18:14:14.205Z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