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t xml:space="preserve"> </w:t>
      </w:r>
    </w:p>
    <w:p>
      <w:pPr>
        <w:spacing w:after="0"/>
      </w:pPr>
      <w:r>
        <w:t xml:space="preserve"> </w:t>
      </w:r>
    </w:p>
    <w:p>
      <w:pPr>
        <w:spacing w:after="0"/>
      </w:pPr>
      <w:r>
        <w:t xml:space="preserve"> </w:t>
      </w:r>
    </w:p>
    <w:p>
      <w:pPr>
        <w:spacing w:after="0"/>
      </w:pPr>
      <w:r>
        <w:t xml:space="preserve"> </w:t>
      </w:r>
    </w:p>
    <w:p>
      <w:pPr>
        <w:spacing w:after="200"/>
        <w:jc w:val="center"/>
      </w:pPr>
      <w:r>
        <w:drawing>
          <wp:inline distT="0" distB="0" distL="0" distR="0">
            <wp:extent cx="5715000" cy="3219450"/>
            <wp:effectExtent t="0" r="0" b="0" l="0"/>
            <wp:docPr id="1" name="cover" descr="Private Cloud Operations bann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19450"/>
                    </a:xfrm>
                    <a:prstGeom prst="rect">
                      <a:avLst/>
                    </a:prstGeom>
                  </pic:spPr>
                </pic:pic>
              </a:graphicData>
            </a:graphic>
          </wp:inline>
        </w:drawing>
      </w:r>
    </w:p>
    <w:p>
      <w:pPr>
        <w:spacing w:after="80"/>
        <w:jc w:val="center"/>
      </w:pPr>
      <w:r>
        <w:rPr>
          <w:rFonts w:ascii="Arial" w:cs="Arial" w:eastAsia="Arial" w:hAnsi="Arial"/>
          <w:b/>
          <w:bCs/>
          <w:color w:val="5BA3E8"/>
          <w:sz w:val="20"/>
          <w:szCs w:val="20"/>
        </w:rPr>
        <w:t xml:space="preserve">TECHNICAL ADVISORY  ·  PRIVATE CLOUD OPERATIONS</w:t>
      </w:r>
    </w:p>
    <w:p>
      <w:pPr>
        <w:spacing w:after="60"/>
        <w:jc w:val="center"/>
      </w:pPr>
      <w:r>
        <w:rPr>
          <w:rFonts w:ascii="Arial" w:cs="Arial" w:eastAsia="Arial" w:hAnsi="Arial"/>
          <w:b/>
          <w:bCs/>
          <w:color w:val="0A1F3D"/>
          <w:sz w:val="48"/>
          <w:szCs w:val="48"/>
        </w:rPr>
        <w:t xml:space="preserve">Adaptive Snapshot Cleanup</w:t>
      </w:r>
    </w:p>
    <w:p>
      <w:pPr>
        <w:spacing w:after="120"/>
        <w:jc w:val="center"/>
      </w:pPr>
      <w:r>
        <w:rPr>
          <w:rFonts w:ascii="Arial" w:cs="Arial" w:eastAsia="Arial" w:hAnsi="Arial"/>
          <w:b/>
          <w:bCs/>
          <w:color w:val="1565C0"/>
          <w:sz w:val="30"/>
          <w:szCs w:val="30"/>
        </w:rPr>
        <w:t xml:space="preserve">VCF 9.0.2 / VCF Automation 9.0.2</w:t>
      </w:r>
    </w:p>
    <w:p>
      <w:pPr>
        <w:spacing w:after="0"/>
      </w:pPr>
      <w:r>
        <w:rPr>
          <w:sz w:val="22"/>
          <w:szCs w:val="22"/>
        </w:rPr>
        <w:t xml:space="preserve"> </w:t>
      </w:r>
    </w:p>
    <w:p>
      <w:pPr>
        <w:pBdr>
          <w:bottom w:val="single" w:color="1565C0" w:sz="18" w:space="4"/>
        </w:pBdr>
        <w:spacing w:after="200"/>
        <w:jc w:val="center"/>
      </w:pPr>
    </w:p>
    <w:p>
      <w:pPr>
        <w:spacing w:after="200"/>
        <w:jc w:val="center"/>
      </w:pPr>
      <w:r>
        <w:rPr>
          <w:rFonts w:ascii="Arial" w:cs="Arial" w:eastAsia="Arial" w:hAnsi="Arial"/>
          <w:i/>
          <w:iCs/>
          <w:color w:val="404040"/>
          <w:sz w:val="24"/>
          <w:szCs w:val="24"/>
        </w:rPr>
        <w:t xml:space="preserve">Implementation Guide</w:t>
      </w:r>
    </w:p>
    <w:p>
      <w:pPr>
        <w:spacing w:after="0"/>
        <w:jc w:val="center"/>
      </w:pPr>
      <w:r>
        <w:rPr>
          <w:rFonts w:ascii="Arial" w:cs="Arial" w:eastAsia="Arial" w:hAnsi="Arial"/>
          <w:b/>
          <w:bCs/>
          <w:color w:val="404040"/>
          <w:sz w:val="18"/>
          <w:szCs w:val="18"/>
        </w:rPr>
        <w:t xml:space="preserve">PREPARED:  </w:t>
      </w:r>
      <w:r>
        <w:rPr>
          <w:rFonts w:ascii="Arial" w:cs="Arial" w:eastAsia="Arial" w:hAnsi="Arial"/>
          <w:color w:val="707070"/>
          <w:sz w:val="18"/>
          <w:szCs w:val="18"/>
        </w:rPr>
        <w:t xml:space="preserve">April 2026</w:t>
      </w:r>
      <w:r>
        <w:rPr>
          <w:rFonts w:ascii="Arial" w:cs="Arial" w:eastAsia="Arial" w:hAnsi="Arial"/>
          <w:color w:val="404040"/>
          <w:sz w:val="18"/>
          <w:szCs w:val="18"/>
        </w:rPr>
        <w:t xml:space="preserve">       ·       </w:t>
      </w:r>
      <w:r>
        <w:rPr>
          <w:rFonts w:ascii="Arial" w:cs="Arial" w:eastAsia="Arial" w:hAnsi="Arial"/>
          <w:b/>
          <w:bCs/>
          <w:color w:val="404040"/>
          <w:sz w:val="18"/>
          <w:szCs w:val="18"/>
        </w:rPr>
        <w:t xml:space="preserve">AUDIENCE:  </w:t>
      </w:r>
      <w:r>
        <w:rPr>
          <w:rFonts w:ascii="Arial" w:cs="Arial" w:eastAsia="Arial" w:hAnsi="Arial"/>
          <w:color w:val="707070"/>
          <w:sz w:val="18"/>
          <w:szCs w:val="18"/>
        </w:rPr>
        <w:t xml:space="preserve">Department of State, DT/EI/IM/CVS, IT Leadership, Infrastructure Management</w:t>
      </w:r>
    </w:p>
    <w:p>
      <w:r>
        <w:br w:type="page"/>
      </w:r>
    </w:p>
    <w:p>
      <w:pPr>
        <w:pStyle w:val="Heading1"/>
      </w:pPr>
      <w:r>
        <w:t xml:space="preserve">0. Read This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
        <w:gridCol w:w="9240"/>
      </w:tblGrid>
      <w:tr>
        <w:tc>
          <w:tcPr>
            <w:tcW w:type="dxa" w:w="120"/>
            <w:tcBorders>
              <w:top w:val="none"/>
              <w:left w:val="none"/>
              <w:bottom w:val="none"/>
              <w:right w:val="none"/>
            </w:tcBorders>
            <w:shd w:fill="BF8F00" w:val="clear"/>
            <w:tcMar>
              <w:top w:type="dxa" w:w="0"/>
              <w:left w:type="dxa" w:w="0"/>
              <w:bottom w:type="dxa" w:w="0"/>
              <w:right w:type="dxa" w:w="0"/>
            </w:tcMar>
          </w:tcPr>
          <w:p>
            <w:pPr>
              <w:spacing w:after="0"/>
            </w:pPr>
            <w:r>
              <w:t xml:space="preserve"> </w:t>
            </w:r>
          </w:p>
        </w:tc>
        <w:tc>
          <w:tcPr>
            <w:tcW w:type="dxa" w:w="9240"/>
            <w:tcBorders>
              <w:top w:val="none"/>
              <w:left w:val="none"/>
              <w:bottom w:val="none"/>
              <w:right w:val="none"/>
            </w:tcBorders>
            <w:shd w:fill="FFF2CC" w:val="clear"/>
            <w:tcMar>
              <w:top w:type="dxa" w:w="140"/>
              <w:left w:type="dxa" w:w="200"/>
              <w:bottom w:type="dxa" w:w="140"/>
              <w:right w:type="dxa" w:w="200"/>
            </w:tcMar>
          </w:tcPr>
          <w:p>
            <w:pPr>
              <w:spacing w:after="60"/>
            </w:pPr>
            <w:r>
              <w:rPr>
                <w:b/>
                <w:bCs/>
                <w:sz w:val="22"/>
                <w:szCs w:val="22"/>
              </w:rPr>
              <w:t xml:space="preserve">Mandatory pre-deployment fix</w:t>
            </w:r>
          </w:p>
          <w:p>
            <w:pPr>
              <w:spacing w:after="0"/>
            </w:pPr>
            <w:r>
              <w:rPr>
                <w:sz w:val="22"/>
                <w:szCs w:val="22"/>
              </w:rPr>
              <w:t xml:space="preserve">Before importing the action modules into vRO, you must correct the module-name references in ST-07_ProcessPoweredOffVMs.js and adaptiveGovernorCheck.js. As shipped they reference "com.company.snapshotcleanup", which does not match the canonical module names. The workflow will fail at runtime if this is not corrected. The fix is detailed in Section 4.2.</w:t>
            </w:r>
          </w:p>
        </w:tc>
      </w:tr>
    </w:tbl>
    <w:p>
      <w:pPr>
        <w:spacing w:after="120"/>
      </w:pPr>
      <w:r>
        <w:t xml:space="preserve">Plan roughly half a working day for first-time deployment, plus a two-week observation window in dry-run mode before going live.</w:t>
      </w:r>
    </w:p>
    <w:p>
      <w:pPr>
        <w:pStyle w:val="Heading1"/>
      </w:pPr>
      <w:r>
        <w:t xml:space="preserve">1. Prerequisites</w:t>
      </w:r>
    </w:p>
    <w:p>
      <w:pPr>
        <w:pStyle w:val="Heading2"/>
      </w:pPr>
      <w:r>
        <w:t xml:space="preserve">1.1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Component</w:t>
            </w:r>
          </w:p>
        </w:tc>
        <w:tc>
          <w:tcPr>
            <w:tcW w:type="dxa" w:w="636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Required</w:t>
            </w:r>
          </w:p>
        </w:tc>
      </w:tr>
      <w:tr>
        <w:tc>
          <w:tcPr>
            <w:tcW w:type="dxa" w:w="3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VMware Cloud Foundation</w:t>
            </w:r>
          </w:p>
        </w:tc>
        <w:tc>
          <w:tcPr>
            <w:tcW w:type="dxa" w:w="63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9.0.2 or later</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Embedded vRealize Orchestrator</w:t>
            </w:r>
          </w:p>
        </w:tc>
        <w:tc>
          <w:tcPr>
            <w:tcW w:type="dxa" w:w="63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8.17.x</w:t>
            </w:r>
          </w:p>
        </w:tc>
      </w:tr>
      <w:tr>
        <w:tc>
          <w:tcPr>
            <w:tcW w:type="dxa" w:w="3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vCenter Server</w:t>
            </w:r>
          </w:p>
        </w:tc>
        <w:tc>
          <w:tcPr>
            <w:tcW w:type="dxa" w:w="63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9.0 or later (one or more, all registered with vRO)</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Aria Operations for Logs</w:t>
            </w:r>
          </w:p>
        </w:tc>
        <w:tc>
          <w:tcPr>
            <w:tcW w:type="dxa" w:w="63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Recommended (workflow logs are ingested automatically)</w:t>
            </w:r>
          </w:p>
        </w:tc>
      </w:tr>
    </w:tbl>
    <w:p>
      <w:pPr>
        <w:spacing w:after="60"/>
      </w:pPr>
      <w:r>
        <w:t xml:space="preserve"> </w:t>
      </w:r>
    </w:p>
    <w:p>
      <w:pPr>
        <w:pStyle w:val="Heading2"/>
      </w:pPr>
      <w:r>
        <w:t xml:space="preserve">1.2 vCenter privileges</w:t>
      </w:r>
    </w:p>
    <w:p>
      <w:pPr>
        <w:pStyle w:val="ListParagraph"/>
        <w:numPr>
          <w:ilvl w:val="0"/>
          <w:numId w:val="2"/>
        </w:numPr>
        <w:spacing w:after="80"/>
      </w:pPr>
      <w:r>
        <w:t xml:space="preserve">Virtual machine → Snapshot management → Remove Snapshot</w:t>
      </w:r>
    </w:p>
    <w:p>
      <w:pPr>
        <w:pStyle w:val="ListParagraph"/>
        <w:numPr>
          <w:ilvl w:val="0"/>
          <w:numId w:val="2"/>
        </w:numPr>
        <w:spacing w:after="80"/>
      </w:pPr>
      <w:r>
        <w:t xml:space="preserve">Virtual machine → Inventory → read access to traverse VM tree</w:t>
      </w:r>
    </w:p>
    <w:p>
      <w:pPr>
        <w:pStyle w:val="ListParagraph"/>
        <w:numPr>
          <w:ilvl w:val="0"/>
          <w:numId w:val="2"/>
        </w:numPr>
        <w:spacing w:after="80"/>
      </w:pPr>
      <w:r>
        <w:t xml:space="preserve">Datastore → read access for performance counter sampling</w:t>
      </w:r>
    </w:p>
    <w:p>
      <w:pPr>
        <w:pStyle w:val="ListParagraph"/>
        <w:numPr>
          <w:ilvl w:val="0"/>
          <w:numId w:val="2"/>
        </w:numPr>
        <w:spacing w:after="80"/>
      </w:pPr>
      <w:r>
        <w:t xml:space="preserve">For vSAN: Host → Configuration → read, to access HostVsanInternalSystem.queryVsanStatistics</w:t>
      </w:r>
    </w:p>
    <w:p>
      <w:pPr>
        <w:pStyle w:val="Heading2"/>
      </w:pPr>
      <w:r>
        <w:t xml:space="preserve">1.3 Skills and access</w:t>
      </w:r>
    </w:p>
    <w:p>
      <w:pPr>
        <w:pStyle w:val="ListParagraph"/>
        <w:numPr>
          <w:ilvl w:val="0"/>
          <w:numId w:val="2"/>
        </w:numPr>
        <w:spacing w:after="80"/>
      </w:pPr>
      <w:r>
        <w:t xml:space="preserve">vRO administrator role in the embedded vRO instance.</w:t>
      </w:r>
    </w:p>
    <w:p>
      <w:pPr>
        <w:pStyle w:val="ListParagraph"/>
        <w:numPr>
          <w:ilvl w:val="0"/>
          <w:numId w:val="2"/>
        </w:numPr>
        <w:spacing w:after="80"/>
      </w:pPr>
      <w:r>
        <w:t xml:space="preserve">Familiarity with the vRO Client Design view (Configurations, Actions, Workflows tabs).</w:t>
      </w:r>
    </w:p>
    <w:p>
      <w:pPr>
        <w:pStyle w:val="Heading1"/>
      </w:pPr>
      <w:r>
        <w:t xml:space="preserve">2. Inventory of Artefacts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700"/>
        <w:gridCol w:w="4160"/>
      </w:tblGrid>
      <w:tr>
        <w:trPr>
          <w:tblHeader/>
        </w:trPr>
        <w:tc>
          <w:tcPr>
            <w:tcW w:type="dxa" w:w="35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File</w:t>
            </w:r>
          </w:p>
        </w:tc>
        <w:tc>
          <w:tcPr>
            <w:tcW w:type="dxa" w:w="17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vRO Object Type</w:t>
            </w:r>
          </w:p>
        </w:tc>
        <w:tc>
          <w:tcPr>
            <w:tcW w:type="dxa" w:w="416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Destination</w:t>
            </w:r>
          </w:p>
        </w:tc>
      </w:tr>
      <w:tr>
        <w:tc>
          <w:tcPr>
            <w:tcW w:type="dxa" w:w="3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configurationElements.xml</w:t>
            </w:r>
          </w:p>
        </w:tc>
        <w:tc>
          <w:tcPr>
            <w:tcW w:type="dxa" w:w="1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Configuration Element</w:t>
            </w:r>
          </w:p>
        </w:tc>
        <w:tc>
          <w:tcPr>
            <w:tcW w:type="dxa" w:w="41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Category SnapshotCleanup, element RuntimeState (Section 3)</w:t>
            </w:r>
          </w:p>
        </w:tc>
      </w:tr>
      <w:tr>
        <w:tc>
          <w:tcPr>
            <w:tcW w:type="dxa" w:w="3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ST-01_InitialiseRun.js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Scriptable Task</w:t>
            </w:r>
          </w:p>
        </w:tc>
        <w:tc>
          <w:tcPr>
            <w:tcW w:type="dxa" w:w="41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ST-01</w:t>
            </w:r>
          </w:p>
        </w:tc>
      </w:tr>
      <w:tr>
        <w:tc>
          <w:tcPr>
            <w:tcW w:type="dxa" w:w="3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ST-02_MutexCheckAndAcquire.js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Scriptable Task</w:t>
            </w:r>
          </w:p>
        </w:tc>
        <w:tc>
          <w:tcPr>
            <w:tcW w:type="dxa" w:w="41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ST-02</w:t>
            </w:r>
          </w:p>
        </w:tc>
      </w:tr>
      <w:tr>
        <w:tc>
          <w:tcPr>
            <w:tcW w:type="dxa" w:w="3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ST-03_EnumeratevCenters.js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Scriptable Task</w:t>
            </w:r>
          </w:p>
        </w:tc>
        <w:tc>
          <w:tcPr>
            <w:tcW w:type="dxa" w:w="41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ST-03</w:t>
            </w:r>
          </w:p>
        </w:tc>
      </w:tr>
      <w:tr>
        <w:tc>
          <w:tcPr>
            <w:tcW w:type="dxa" w:w="3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ST-04_CandidatesCheck.js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Scriptable Task</w:t>
            </w:r>
          </w:p>
        </w:tc>
        <w:tc>
          <w:tcPr>
            <w:tcW w:type="dxa" w:w="41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ST-04 (followed by Decision element)</w:t>
            </w:r>
          </w:p>
        </w:tc>
      </w:tr>
      <w:tr>
        <w:tc>
          <w:tcPr>
            <w:tcW w:type="dxa" w:w="3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ST-05_SortAndSplitLanes.js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Scriptable Task</w:t>
            </w:r>
          </w:p>
        </w:tc>
        <w:tc>
          <w:tcPr>
            <w:tcW w:type="dxa" w:w="41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ST-05</w:t>
            </w:r>
          </w:p>
        </w:tc>
      </w:tr>
      <w:tr>
        <w:tc>
          <w:tcPr>
            <w:tcW w:type="dxa" w:w="3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ST-06_ProcessPoweredOnVMs.js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Scriptable Task</w:t>
            </w:r>
          </w:p>
        </w:tc>
        <w:tc>
          <w:tcPr>
            <w:tcW w:type="dxa" w:w="41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ST-06</w:t>
            </w:r>
          </w:p>
        </w:tc>
      </w:tr>
      <w:tr>
        <w:tc>
          <w:tcPr>
            <w:tcW w:type="dxa" w:w="3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ST-07_ProcessPoweredOffVMs.js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Scriptable Task</w:t>
            </w:r>
          </w:p>
        </w:tc>
        <w:tc>
          <w:tcPr>
            <w:tcW w:type="dxa" w:w="41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ST-07 — requires module-name fix (§4.2)</w:t>
            </w:r>
          </w:p>
        </w:tc>
      </w:tr>
      <w:tr>
        <w:tc>
          <w:tcPr>
            <w:tcW w:type="dxa" w:w="3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ST-09_ReleaseMutexAndFinalise.js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Scriptable Task</w:t>
            </w:r>
          </w:p>
        </w:tc>
        <w:tc>
          <w:tcPr>
            <w:tcW w:type="dxa" w:w="41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ST-09</w:t>
            </w:r>
          </w:p>
        </w:tc>
      </w:tr>
      <w:tr>
        <w:tc>
          <w:tcPr>
            <w:tcW w:type="dxa" w:w="3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EH_ExceptionHandler.js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Scriptable Task</w:t>
            </w:r>
          </w:p>
        </w:tc>
        <w:tc>
          <w:tcPr>
            <w:tcW w:type="dxa" w:w="41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Exception Handler element</w:t>
            </w:r>
          </w:p>
        </w:tc>
      </w:tr>
      <w:tr>
        <w:tc>
          <w:tcPr>
            <w:tcW w:type="dxa" w:w="3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LOG_HELPER.js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Reference</w:t>
            </w:r>
          </w:p>
        </w:tc>
        <w:tc>
          <w:tcPr>
            <w:tcW w:type="dxa" w:w="41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Documentation only (LOG object is inlined in each task)</w:t>
            </w:r>
          </w:p>
        </w:tc>
      </w:tr>
      <w:tr>
        <w:tc>
          <w:tcPr>
            <w:tcW w:type="dxa" w:w="3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getSnapshotCandidates.js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Action</w:t>
            </w:r>
          </w:p>
        </w:tc>
        <w:tc>
          <w:tcPr>
            <w:tcW w:type="dxa" w:w="41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com.broadcom.pso.vc.vm.snapshots / _getSnapshotCandidates</w:t>
            </w:r>
          </w:p>
        </w:tc>
      </w:tr>
      <w:tr>
        <w:tc>
          <w:tcPr>
            <w:tcW w:type="dxa" w:w="3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deleteSnapshot.js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Action</w:t>
            </w:r>
          </w:p>
        </w:tc>
        <w:tc>
          <w:tcPr>
            <w:tcW w:type="dxa" w:w="41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com.broadcom.pso.vc.vm.snapshots / _deleteSnapshot</w:t>
            </w:r>
          </w:p>
        </w:tc>
      </w:tr>
      <w:tr>
        <w:tc>
          <w:tcPr>
            <w:tcW w:type="dxa" w:w="3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getDatastoreMetrics.js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Action</w:t>
            </w:r>
          </w:p>
        </w:tc>
        <w:tc>
          <w:tcPr>
            <w:tcW w:type="dxa" w:w="41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com.broadcom.pso.vc.storage / _getDatastoreMetrics</w:t>
            </w:r>
          </w:p>
        </w:tc>
      </w:tr>
      <w:tr>
        <w:tc>
          <w:tcPr>
            <w:tcW w:type="dxa" w:w="3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adaptiveGovernorCheck.js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Action</w:t>
            </w:r>
          </w:p>
        </w:tc>
        <w:tc>
          <w:tcPr>
            <w:tcW w:type="dxa" w:w="41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com.broadcom.pso.vc.storage / adaptiveGovernorCheck — requires module-name fix (§4.2)</w:t>
            </w:r>
          </w:p>
        </w:tc>
      </w:tr>
      <w:tr>
        <w:tc>
          <w:tcPr>
            <w:tcW w:type="dxa" w:w="3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writeLogFile.js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Deprecated</w:t>
            </w:r>
          </w:p>
        </w:tc>
        <w:tc>
          <w:tcPr>
            <w:tcW w:type="dxa" w:w="41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Not used by the workflow. Skip.</w:t>
            </w:r>
          </w:p>
        </w:tc>
      </w:tr>
    </w:tbl>
    <w:p>
      <w:pPr>
        <w:spacing w:after="60"/>
      </w:pPr>
      <w:r>
        <w:t xml:space="preserve"> </w:t>
      </w:r>
    </w:p>
    <w:p>
      <w:pPr>
        <w:pStyle w:val="Heading1"/>
      </w:pPr>
      <w:r>
        <w:t xml:space="preserve">3. Step 1 — Create the Configuration Element</w:t>
      </w:r>
    </w:p>
    <w:p>
      <w:pPr>
        <w:pStyle w:val="ListParagraph"/>
        <w:numPr>
          <w:ilvl w:val="0"/>
          <w:numId w:val="3"/>
        </w:numPr>
        <w:spacing w:after="80"/>
      </w:pPr>
      <w:r>
        <w:t xml:space="preserve">Navigate to Design → Configurations.</w:t>
      </w:r>
    </w:p>
    <w:p>
      <w:pPr>
        <w:pStyle w:val="ListParagraph"/>
        <w:numPr>
          <w:ilvl w:val="0"/>
          <w:numId w:val="3"/>
        </w:numPr>
        <w:spacing w:after="80"/>
      </w:pPr>
      <w:r>
        <w:t xml:space="preserve">Create category SnapshotCleanup.</w:t>
      </w:r>
    </w:p>
    <w:p>
      <w:pPr>
        <w:pStyle w:val="ListParagraph"/>
        <w:numPr>
          <w:ilvl w:val="0"/>
          <w:numId w:val="3"/>
        </w:numPr>
        <w:spacing w:after="80"/>
      </w:pPr>
      <w:r>
        <w:t xml:space="preserve">Create element RuntimeState inside it.</w:t>
      </w:r>
    </w:p>
    <w:p>
      <w:pPr>
        <w:pStyle w:val="ListParagraph"/>
        <w:numPr>
          <w:ilvl w:val="0"/>
          <w:numId w:val="3"/>
        </w:numPr>
        <w:spacing w:after="80"/>
      </w:pPr>
      <w:r>
        <w:t xml:space="preserve">Add the four attributes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2200"/>
        <w:gridCol w:w="3960"/>
      </w:tblGrid>
      <w:tr>
        <w:trPr>
          <w:tblHeader/>
        </w:trPr>
        <w:tc>
          <w:tcPr>
            <w:tcW w:type="dxa" w:w="20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Attribute</w:t>
            </w:r>
          </w:p>
        </w:tc>
        <w:tc>
          <w:tcPr>
            <w:tcW w:type="dxa" w:w="12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Type</w:t>
            </w:r>
          </w:p>
        </w:tc>
        <w:tc>
          <w:tcPr>
            <w:tcW w:type="dxa" w:w="22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Initial Value</w:t>
            </w:r>
          </w:p>
        </w:tc>
        <w:tc>
          <w:tcPr>
            <w:tcW w:type="dxa" w:w="396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Notes</w:t>
            </w:r>
          </w:p>
        </w:tc>
      </w:tr>
      <w:tr>
        <w:tc>
          <w:tcPr>
            <w:tcW w:type="dxa" w:w="2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runLock</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string</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(empty string)</w:t>
            </w:r>
          </w:p>
        </w:tc>
        <w:tc>
          <w:tcPr>
            <w:tcW w:type="dxa" w:w="39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CRITICAL: must be empty string, never null.</w:t>
            </w:r>
          </w:p>
        </w:tc>
      </w:tr>
      <w:t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lastRunId</w:t>
            </w:r>
          </w:p>
        </w:tc>
        <w:tc>
          <w:tcPr>
            <w:tcW w:type="dxa" w:w="1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string</w:t>
            </w:r>
          </w:p>
        </w:tc>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(empty string)</w:t>
            </w:r>
          </w:p>
        </w:tc>
        <w:tc>
          <w:tcPr>
            <w:tcW w:type="dxa" w:w="39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Informational.</w:t>
            </w:r>
          </w:p>
        </w:tc>
      </w:tr>
      <w:tr>
        <w:tc>
          <w:tcPr>
            <w:tcW w:type="dxa" w:w="2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lastRunCompletedAt</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string</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(empty string)</w:t>
            </w:r>
          </w:p>
        </w:tc>
        <w:tc>
          <w:tcPr>
            <w:tcW w:type="dxa" w:w="39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Informational.</w:t>
            </w:r>
          </w:p>
        </w:tc>
      </w:tr>
      <w:t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lastRunOutcome</w:t>
            </w:r>
          </w:p>
        </w:tc>
        <w:tc>
          <w:tcPr>
            <w:tcW w:type="dxa" w:w="1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string</w:t>
            </w:r>
          </w:p>
        </w:tc>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(empty string)</w:t>
            </w:r>
          </w:p>
        </w:tc>
        <w:tc>
          <w:tcPr>
            <w:tcW w:type="dxa" w:w="39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Informational.</w:t>
            </w:r>
          </w:p>
        </w:tc>
      </w:tr>
    </w:tbl>
    <w:p>
      <w:pPr>
        <w:spacing w:after="60"/>
      </w:pPr>
      <w:r>
        <w:t xml:space="preserve"> </w:t>
      </w:r>
    </w:p>
    <w:p>
      <w:pPr>
        <w:pStyle w:val="Heading1"/>
      </w:pPr>
      <w:r>
        <w:t xml:space="preserve">4. Step 2 — Import the Action Modules</w:t>
      </w:r>
    </w:p>
    <w:p>
      <w:pPr>
        <w:pStyle w:val="Heading2"/>
      </w:pPr>
      <w:r>
        <w:t xml:space="preserve">4.1 Create the modules</w:t>
      </w:r>
    </w:p>
    <w:p>
      <w:pPr>
        <w:pStyle w:val="ListParagraph"/>
        <w:numPr>
          <w:ilvl w:val="0"/>
          <w:numId w:val="3"/>
        </w:numPr>
        <w:spacing w:after="80"/>
      </w:pPr>
      <w:r>
        <w:t xml:space="preserve">Design → Actions → New Module: com.broadcom.pso.vc.vm.snapshots</w:t>
      </w:r>
    </w:p>
    <w:p>
      <w:pPr>
        <w:pStyle w:val="ListParagraph"/>
        <w:numPr>
          <w:ilvl w:val="0"/>
          <w:numId w:val="3"/>
        </w:numPr>
        <w:spacing w:after="80"/>
      </w:pPr>
      <w:r>
        <w:t xml:space="preserve">New Module: com.broadcom.pso.vc.storage</w:t>
      </w:r>
    </w:p>
    <w:p>
      <w:pPr>
        <w:pStyle w:val="Heading2"/>
      </w:pPr>
      <w:r>
        <w:t xml:space="preserve">4.2 Apply the module-name fix to ST-07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
        <w:gridCol w:w="9240"/>
      </w:tblGrid>
      <w:tr>
        <w:tc>
          <w:tcPr>
            <w:tcW w:type="dxa" w:w="120"/>
            <w:tcBorders>
              <w:top w:val="none"/>
              <w:left w:val="none"/>
              <w:bottom w:val="none"/>
              <w:right w:val="none"/>
            </w:tcBorders>
            <w:shd w:fill="C00000" w:val="clear"/>
            <w:tcMar>
              <w:top w:type="dxa" w:w="0"/>
              <w:left w:type="dxa" w:w="0"/>
              <w:bottom w:type="dxa" w:w="0"/>
              <w:right w:type="dxa" w:w="0"/>
            </w:tcMar>
          </w:tcPr>
          <w:p>
            <w:pPr>
              <w:spacing w:after="0"/>
            </w:pPr>
            <w:r>
              <w:t xml:space="preserve"> </w:t>
            </w:r>
          </w:p>
        </w:tc>
        <w:tc>
          <w:tcPr>
            <w:tcW w:type="dxa" w:w="9240"/>
            <w:tcBorders>
              <w:top w:val="none"/>
              <w:left w:val="none"/>
              <w:bottom w:val="none"/>
              <w:right w:val="none"/>
            </w:tcBorders>
            <w:shd w:fill="FBE5D6" w:val="clear"/>
            <w:tcMar>
              <w:top w:type="dxa" w:w="140"/>
              <w:left w:type="dxa" w:w="200"/>
              <w:bottom w:type="dxa" w:w="140"/>
              <w:right w:type="dxa" w:w="200"/>
            </w:tcMar>
          </w:tcPr>
          <w:p>
            <w:pPr>
              <w:spacing w:after="60"/>
            </w:pPr>
            <w:r>
              <w:rPr>
                <w:b/>
                <w:bCs/>
                <w:sz w:val="22"/>
                <w:szCs w:val="22"/>
              </w:rPr>
              <w:t xml:space="preserve">This fix is mandatory</w:t>
            </w:r>
          </w:p>
          <w:p>
            <w:pPr>
              <w:spacing w:after="0"/>
            </w:pPr>
            <w:r>
              <w:rPr>
                <w:sz w:val="22"/>
                <w:szCs w:val="22"/>
              </w:rPr>
              <w:t xml:space="preserve">Without it, every powered-off VM and every governor decision will fail with “module not found” errors.</w:t>
            </w:r>
          </w:p>
        </w:tc>
      </w:tr>
    </w:tbl>
    <w:p>
      <w:pPr>
        <w:spacing w:after="120"/>
      </w:pPr>
      <w:r>
        <w:t xml:space="preserve">Open ST-07_ProcessPoweredOffVMs.js and replace:</w:t>
      </w:r>
    </w:p>
    <w:p>
      <w:pPr>
        <w:shd w:fill="F2F2F2" w:val="clear"/>
        <w:spacing w:after="0" w:before="0"/>
        <w:ind w:left="360"/>
      </w:pPr>
      <w:r>
        <w:rPr>
          <w:rFonts w:ascii="Consolas" w:cs="Consolas" w:eastAsia="Consolas" w:hAnsi="Consolas"/>
          <w:sz w:val="18"/>
          <w:szCs w:val="18"/>
        </w:rPr>
        <w:t xml:space="preserve">// BEFORE</w:t>
      </w:r>
    </w:p>
    <w:p>
      <w:pPr>
        <w:shd w:fill="F2F2F2" w:val="clear"/>
        <w:spacing w:after="0" w:before="0"/>
        <w:ind w:left="360"/>
      </w:pPr>
      <w:r>
        <w:rPr>
          <w:rFonts w:ascii="Consolas" w:cs="Consolas" w:eastAsia="Consolas" w:hAnsi="Consolas"/>
          <w:sz w:val="18"/>
          <w:szCs w:val="18"/>
        </w:rPr>
        <w:t xml:space="preserve">var MODULE   = "com.company.snapshotcleanup";</w:t>
      </w:r>
    </w:p>
    <w:p>
      <w:pPr>
        <w:shd w:fill="F2F2F2" w:val="clear"/>
        <w:spacing w:after="0" w:before="0"/>
        <w:ind w:left="360"/>
      </w:pPr>
      <w:r>
        <w:rPr>
          <w:rFonts w:ascii="Consolas" w:cs="Consolas" w:eastAsia="Consolas" w:hAnsi="Consolas"/>
          <w:sz w:val="18"/>
          <w:szCs w:val="18"/>
        </w:rPr>
        <w:t xml:space="preserve"> </w:t>
      </w:r>
    </w:p>
    <w:p>
      <w:pPr>
        <w:shd w:fill="F2F2F2" w:val="clear"/>
        <w:spacing w:after="0" w:before="0"/>
        <w:ind w:left="360"/>
      </w:pPr>
      <w:r>
        <w:rPr>
          <w:rFonts w:ascii="Consolas" w:cs="Consolas" w:eastAsia="Consolas" w:hAnsi="Consolas"/>
          <w:sz w:val="18"/>
          <w:szCs w:val="18"/>
        </w:rPr>
        <w:t xml:space="preserve">// AFTER</w:t>
      </w:r>
    </w:p>
    <w:p>
      <w:pPr>
        <w:shd w:fill="F2F2F2" w:val="clear"/>
        <w:spacing w:after="0" w:before="0"/>
        <w:ind w:left="360"/>
      </w:pPr>
      <w:r>
        <w:rPr>
          <w:rFonts w:ascii="Consolas" w:cs="Consolas" w:eastAsia="Consolas" w:hAnsi="Consolas"/>
          <w:sz w:val="18"/>
          <w:szCs w:val="18"/>
        </w:rPr>
        <w:t xml:space="preserve">var SNAPMODULE    = "com.broadcom.pso.vc.vm.snapshots";</w:t>
      </w:r>
    </w:p>
    <w:p>
      <w:pPr>
        <w:shd w:fill="F2F2F2" w:val="clear"/>
        <w:spacing w:after="0" w:before="0"/>
        <w:ind w:left="360"/>
      </w:pPr>
      <w:r>
        <w:rPr>
          <w:rFonts w:ascii="Consolas" w:cs="Consolas" w:eastAsia="Consolas" w:hAnsi="Consolas"/>
          <w:sz w:val="18"/>
          <w:szCs w:val="18"/>
        </w:rPr>
        <w:t xml:space="preserve">var STORAGEMODULE = "com.broadcom.pso.vc.storage";</w:t>
      </w:r>
    </w:p>
    <w:p>
      <w:pPr>
        <w:spacing w:after="120"/>
      </w:pPr>
      <w:r>
        <w:t xml:space="preserve">Then update the System.getModule call sites accordingly.</w:t>
      </w:r>
    </w:p>
    <w:p>
      <w:pPr>
        <w:pStyle w:val="Heading2"/>
      </w:pPr>
      <w:r>
        <w:t xml:space="preserve">4.3 Import the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Action</w:t>
            </w:r>
          </w:p>
        </w:tc>
        <w:tc>
          <w:tcPr>
            <w:tcW w:type="dxa" w:w="24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Module</w:t>
            </w:r>
          </w:p>
        </w:tc>
        <w:tc>
          <w:tcPr>
            <w:tcW w:type="dxa" w:w="456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Signature</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_getSnapshotCandidates</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...vc.vm.snapshots</w:t>
            </w:r>
          </w:p>
        </w:tc>
        <w:tc>
          <w:tcPr>
            <w:tcW w:type="dxa" w:w="45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Inputs: vcenterSdkConnection (VC:SdkConnection), maxAgeMinutes (number), nameMatchString (string), descIgnoreStrings (Array/string). Returns: string.</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_deleteSnapshot</w:t>
            </w:r>
          </w:p>
        </w:tc>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...vc.vm.snapshots</w:t>
            </w:r>
          </w:p>
        </w:tc>
        <w:tc>
          <w:tcPr>
            <w:tcW w:type="dxa" w:w="45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Inputs: vcenterSdkConnection (VC:SdkConnection), vmMoRef (string), snapshotMoRef (string), snapshotName (string), snapshotCreatedMs (number), vmName (string), datastoreMoRefsJson (string), dryRun (boolean), taskTimeoutSeconds (number). Returns: string.</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_getDatastoreMetrics</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...vc.storage</w:t>
            </w:r>
          </w:p>
        </w:tc>
        <w:tc>
          <w:tcPr>
            <w:tcW w:type="dxa" w:w="45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Inputs: vcenterSdkConnection (VC:SdkConnection), datastoreMoRef (string). Returns: string.</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adaptiveGovernorCheck</w:t>
            </w:r>
          </w:p>
        </w:tc>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...vc.storage</w:t>
            </w:r>
          </w:p>
        </w:tc>
        <w:tc>
          <w:tcPr>
            <w:tcW w:type="dxa" w:w="45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Inputs: currentMetricsJson (string), preConsolidationJson (string), postConsolidationJson (string), latencyThresholdMs (number), vsanCongestionThresh (number), vsanResyncThresh (number). Returns: string.</w:t>
            </w:r>
          </w:p>
        </w:tc>
      </w:tr>
    </w:tbl>
    <w:p>
      <w:pPr>
        <w:spacing w:after="6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
        <w:gridCol w:w="9240"/>
      </w:tblGrid>
      <w:tr>
        <w:tc>
          <w:tcPr>
            <w:tcW w:type="dxa" w:w="120"/>
            <w:tcBorders>
              <w:top w:val="none"/>
              <w:left w:val="none"/>
              <w:bottom w:val="none"/>
              <w:right w:val="none"/>
            </w:tcBorders>
            <w:shd w:fill="1565C0" w:val="clear"/>
            <w:tcMar>
              <w:top w:type="dxa" w:w="0"/>
              <w:left w:type="dxa" w:w="0"/>
              <w:bottom w:type="dxa" w:w="0"/>
              <w:right w:type="dxa" w:w="0"/>
            </w:tcMar>
          </w:tcPr>
          <w:p>
            <w:pPr>
              <w:spacing w:after="0"/>
            </w:pPr>
            <w:r>
              <w:t xml:space="preserve"> </w:t>
            </w:r>
          </w:p>
        </w:tc>
        <w:tc>
          <w:tcPr>
            <w:tcW w:type="dxa" w:w="9240"/>
            <w:tcBorders>
              <w:top w:val="none"/>
              <w:left w:val="none"/>
              <w:bottom w:val="none"/>
              <w:right w:val="none"/>
            </w:tcBorders>
            <w:shd w:fill="D5E8F0" w:val="clear"/>
            <w:tcMar>
              <w:top w:type="dxa" w:w="140"/>
              <w:left w:type="dxa" w:w="200"/>
              <w:bottom w:type="dxa" w:w="140"/>
              <w:right w:type="dxa" w:w="200"/>
            </w:tcMar>
          </w:tcPr>
          <w:p>
            <w:pPr>
              <w:spacing w:after="60"/>
            </w:pPr>
            <w:r>
              <w:rPr>
                <w:b/>
                <w:bCs/>
                <w:sz w:val="22"/>
                <w:szCs w:val="22"/>
              </w:rPr>
              <w:t xml:space="preserve">descIgnoreStrings is Array/string, not string</w:t>
            </w:r>
          </w:p>
          <w:p>
            <w:pPr>
              <w:spacing w:after="0"/>
            </w:pPr>
            <w:r>
              <w:rPr>
                <w:sz w:val="22"/>
                <w:szCs w:val="22"/>
              </w:rPr>
              <w:t xml:space="preserve">When creating the _getSnapshotCandidates action input for descIgnoreStrings, select type Array/string in the vRO action editor. This is a native vRO array type, not a comma-delimited string. The action iterates the array and checks each element against every snapshot description.</w:t>
            </w:r>
          </w:p>
        </w:tc>
      </w:tr>
    </w:tbl>
    <w:p>
      <w:pPr>
        <w:pStyle w:val="Heading1"/>
      </w:pPr>
      <w:r>
        <w:t xml:space="preserve">5. Step 3 — Build the Workflow</w:t>
      </w:r>
    </w:p>
    <w:p>
      <w:pPr>
        <w:pStyle w:val="Heading2"/>
      </w:pPr>
      <w:r>
        <w:t xml:space="preserve">5.1 Workflow 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100"/>
        <w:gridCol w:w="4460"/>
      </w:tblGrid>
      <w:tr>
        <w:trPr>
          <w:tblHeader/>
        </w:trPr>
        <w:tc>
          <w:tcPr>
            <w:tcW w:type="dxa" w:w="24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Input</w:t>
            </w:r>
          </w:p>
        </w:tc>
        <w:tc>
          <w:tcPr>
            <w:tcW w:type="dxa" w:w="14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Type</w:t>
            </w:r>
          </w:p>
        </w:tc>
        <w:tc>
          <w:tcPr>
            <w:tcW w:type="dxa" w:w="11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Default</w:t>
            </w:r>
          </w:p>
        </w:tc>
        <w:tc>
          <w:tcPr>
            <w:tcW w:type="dxa" w:w="446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Notes</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maxAgeMinutes</w:t>
            </w:r>
          </w:p>
        </w:tc>
        <w:tc>
          <w:tcPr>
            <w:tcW w:type="dxa" w:w="1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number</w:t>
            </w:r>
          </w:p>
        </w:tc>
        <w:tc>
          <w:tcPr>
            <w:tcW w:type="dxa" w:w="1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10080</w:t>
            </w:r>
          </w:p>
        </w:tc>
        <w:tc>
          <w:tcPr>
            <w:tcW w:type="dxa" w:w="44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7 days for production.</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nameMatchString</w:t>
            </w:r>
          </w:p>
        </w:tc>
        <w:tc>
          <w:tcPr>
            <w:tcW w:type="dxa" w:w="1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string</w:t>
            </w:r>
          </w:p>
        </w:tc>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(empty)</w:t>
            </w:r>
          </w:p>
        </w:tc>
        <w:tc>
          <w:tcPr>
            <w:tcW w:type="dxa" w:w="44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Whitelist filter.</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descIgnoreStrings</w:t>
            </w:r>
          </w:p>
        </w:tc>
        <w:tc>
          <w:tcPr>
            <w:tcW w:type="dxa" w:w="1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Array/string</w:t>
            </w:r>
          </w:p>
        </w:tc>
        <w:tc>
          <w:tcPr>
            <w:tcW w:type="dxa" w:w="1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w:t>
            </w:r>
          </w:p>
        </w:tc>
        <w:tc>
          <w:tcPr>
            <w:tcW w:type="dxa" w:w="44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Array of ignore keywords. Snapshot skipped if description contains ANY element (case-insensitive substring).</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dryRun</w:t>
            </w:r>
          </w:p>
        </w:tc>
        <w:tc>
          <w:tcPr>
            <w:tcW w:type="dxa" w:w="1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boolean</w:t>
            </w:r>
          </w:p>
        </w:tc>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true</w:t>
            </w:r>
          </w:p>
        </w:tc>
        <w:tc>
          <w:tcPr>
            <w:tcW w:type="dxa" w:w="44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MUST default true.</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latencyThresholdMs</w:t>
            </w:r>
          </w:p>
        </w:tc>
        <w:tc>
          <w:tcPr>
            <w:tcW w:type="dxa" w:w="1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number</w:t>
            </w:r>
          </w:p>
        </w:tc>
        <w:tc>
          <w:tcPr>
            <w:tcW w:type="dxa" w:w="1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30</w:t>
            </w:r>
          </w:p>
        </w:tc>
        <w:tc>
          <w:tcPr>
            <w:tcW w:type="dxa" w:w="44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VMFS/NFS governor ceiling (ms).</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vsanCongestionThresh</w:t>
            </w:r>
          </w:p>
        </w:tc>
        <w:tc>
          <w:tcPr>
            <w:tcW w:type="dxa" w:w="1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number</w:t>
            </w:r>
          </w:p>
        </w:tc>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50</w:t>
            </w:r>
          </w:p>
        </w:tc>
        <w:tc>
          <w:tcPr>
            <w:tcW w:type="dxa" w:w="44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vSAN congestion ceiling (0–255).</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vsanResyncThresholdGB</w:t>
            </w:r>
          </w:p>
        </w:tc>
        <w:tc>
          <w:tcPr>
            <w:tcW w:type="dxa" w:w="1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number</w:t>
            </w:r>
          </w:p>
        </w:tc>
        <w:tc>
          <w:tcPr>
            <w:tcW w:type="dxa" w:w="1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10</w:t>
            </w:r>
          </w:p>
        </w:tc>
        <w:tc>
          <w:tcPr>
            <w:tcW w:type="dxa" w:w="44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vSAN resync queue ceiling (GB).</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maxParallelPerVcenter</w:t>
            </w:r>
          </w:p>
        </w:tc>
        <w:tc>
          <w:tcPr>
            <w:tcW w:type="dxa" w:w="1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number</w:t>
            </w:r>
          </w:p>
        </w:tc>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3</w:t>
            </w:r>
          </w:p>
        </w:tc>
        <w:tc>
          <w:tcPr>
            <w:tcW w:type="dxa" w:w="44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Max parallel tasks per vCenter for powered-on VMs.</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governorPollIntervalSec</w:t>
            </w:r>
          </w:p>
        </w:tc>
        <w:tc>
          <w:tcPr>
            <w:tcW w:type="dxa" w:w="1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number</w:t>
            </w:r>
          </w:p>
        </w:tc>
        <w:tc>
          <w:tcPr>
            <w:tcW w:type="dxa" w:w="1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30</w:t>
            </w:r>
          </w:p>
        </w:tc>
        <w:tc>
          <w:tcPr>
            <w:tcW w:type="dxa" w:w="44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Governor re-check interval (seconds).</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taskTimeoutSeconds</w:t>
            </w:r>
          </w:p>
        </w:tc>
        <w:tc>
          <w:tcPr>
            <w:tcW w:type="dxa" w:w="1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number</w:t>
            </w:r>
          </w:p>
        </w:tc>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1800</w:t>
            </w:r>
          </w:p>
        </w:tc>
        <w:tc>
          <w:tcPr>
            <w:tcW w:type="dxa" w:w="44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Per-task timeout (30 minutes).</w:t>
            </w:r>
          </w:p>
        </w:tc>
      </w:tr>
    </w:tbl>
    <w:p>
      <w:pPr>
        <w:spacing w:after="60"/>
      </w:pPr>
      <w:r>
        <w:t xml:space="preserve"> </w:t>
      </w:r>
    </w:p>
    <w:p>
      <w:pPr>
        <w:pStyle w:val="Heading2"/>
      </w:pPr>
      <w:r>
        <w:t xml:space="preserve">5.2 Workflow attributes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560"/>
      </w:tblGrid>
      <w:tr>
        <w:trPr>
          <w:tblHeader/>
        </w:trPr>
        <w:tc>
          <w:tcPr>
            <w:tcW w:type="dxa" w:w="26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Attribute</w:t>
            </w:r>
          </w:p>
        </w:tc>
        <w:tc>
          <w:tcPr>
            <w:tcW w:type="dxa" w:w="22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Type</w:t>
            </w:r>
          </w:p>
        </w:tc>
        <w:tc>
          <w:tcPr>
            <w:tcW w:type="dxa" w:w="456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Notes / Default</w:t>
            </w:r>
          </w:p>
        </w:tc>
      </w:tr>
      <w:tr>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runId</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string</w:t>
            </w:r>
          </w:p>
        </w:tc>
        <w:tc>
          <w:tcPr>
            <w:tcW w:type="dxa" w:w="45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Set by ST-01.</w:t>
            </w:r>
          </w:p>
        </w:tc>
      </w:tr>
      <w:t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runLog</w:t>
            </w:r>
          </w:p>
        </w:tc>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string</w:t>
            </w:r>
          </w:p>
        </w:tc>
        <w:tc>
          <w:tcPr>
            <w:tcW w:type="dxa" w:w="45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Default "[]". Accumulated across tasks.</w:t>
            </w:r>
          </w:p>
        </w:tc>
      </w:tr>
      <w:tr>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lockEl</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ConfigurationElement</w:t>
            </w:r>
          </w:p>
        </w:tc>
        <w:tc>
          <w:tcPr>
            <w:tcW w:type="dxa" w:w="45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Bind to SnapshotCleanup/RuntimeState.</w:t>
            </w:r>
          </w:p>
        </w:tc>
      </w:tr>
      <w:t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allCandidatesJson</w:t>
            </w:r>
          </w:p>
        </w:tc>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string</w:t>
            </w:r>
          </w:p>
        </w:tc>
        <w:tc>
          <w:tcPr>
            <w:tcW w:type="dxa" w:w="45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Default "[]".</w:t>
            </w:r>
          </w:p>
        </w:tc>
      </w:tr>
      <w:tr>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candidateCount</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number</w:t>
            </w:r>
          </w:p>
        </w:tc>
        <w:tc>
          <w:tcPr>
            <w:tcW w:type="dxa" w:w="45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Default 0.</w:t>
            </w:r>
          </w:p>
        </w:tc>
      </w:tr>
      <w:t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candidatesFound</w:t>
            </w:r>
          </w:p>
        </w:tc>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boolean</w:t>
            </w:r>
          </w:p>
        </w:tc>
        <w:tc>
          <w:tcPr>
            <w:tcW w:type="dxa" w:w="45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Default false.</w:t>
            </w:r>
          </w:p>
        </w:tc>
      </w:tr>
      <w:tr>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onCandidatesJson</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string</w:t>
            </w:r>
          </w:p>
        </w:tc>
        <w:tc>
          <w:tcPr>
            <w:tcW w:type="dxa" w:w="45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Default "[]".</w:t>
            </w:r>
          </w:p>
        </w:tc>
      </w:tr>
      <w:t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offCandidatesJson</w:t>
            </w:r>
          </w:p>
        </w:tc>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string</w:t>
            </w:r>
          </w:p>
        </w:tc>
        <w:tc>
          <w:tcPr>
            <w:tcW w:type="dxa" w:w="45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Default "[]".</w:t>
            </w:r>
          </w:p>
        </w:tc>
      </w:tr>
      <w:tr>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datastoreStateJson</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string</w:t>
            </w:r>
          </w:p>
        </w:tc>
        <w:tc>
          <w:tcPr>
            <w:tcW w:type="dxa" w:w="45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Default "{}".</w:t>
            </w:r>
          </w:p>
        </w:tc>
      </w:tr>
      <w:t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vsanResyncThresholdBytes</w:t>
            </w:r>
          </w:p>
        </w:tc>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number</w:t>
            </w:r>
          </w:p>
        </w:tc>
        <w:tc>
          <w:tcPr>
            <w:tcW w:type="dxa" w:w="45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Set by ST-01.</w:t>
            </w:r>
          </w:p>
        </w:tc>
      </w:tr>
      <w:tr>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govPollMs</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number</w:t>
            </w:r>
          </w:p>
        </w:tc>
        <w:tc>
          <w:tcPr>
            <w:tcW w:type="dxa" w:w="45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Set by ST-01.</w:t>
            </w:r>
          </w:p>
        </w:tc>
      </w:tr>
      <w:t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maxParallel</w:t>
            </w:r>
          </w:p>
        </w:tc>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number</w:t>
            </w:r>
          </w:p>
        </w:tc>
        <w:tc>
          <w:tcPr>
            <w:tcW w:type="dxa" w:w="45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Set by ST-01.</w:t>
            </w:r>
          </w:p>
        </w:tc>
      </w:tr>
      <w:tr>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wrapperWf</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Workflow</w:t>
            </w:r>
          </w:p>
        </w:tc>
        <w:tc>
          <w:tcPr>
            <w:tcW w:type="dxa" w:w="45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Bind to async wrapper workflow for ST-06 dispatch.</w:t>
            </w:r>
          </w:p>
        </w:tc>
      </w:tr>
      <w:t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workflowOutcome</w:t>
            </w:r>
          </w:p>
        </w:tc>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string</w:t>
            </w:r>
          </w:p>
        </w:tc>
        <w:tc>
          <w:tcPr>
            <w:tcW w:type="dxa" w:w="45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Output. Set by ST-04, ST-09, or EH.</w:t>
            </w:r>
          </w:p>
        </w:tc>
      </w:tr>
      <w:tr>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runSummaryJson</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string</w:t>
            </w:r>
          </w:p>
        </w:tc>
        <w:tc>
          <w:tcPr>
            <w:tcW w:type="dxa" w:w="45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Output. Set by ST-09 or EH.</w:t>
            </w:r>
          </w:p>
        </w:tc>
      </w:tr>
    </w:tbl>
    <w:p>
      <w:pPr>
        <w:spacing w:after="60"/>
      </w:pPr>
      <w:r>
        <w:t xml:space="preserve"> </w:t>
      </w:r>
    </w:p>
    <w:p>
      <w:pPr>
        <w:pStyle w:val="Heading2"/>
      </w:pPr>
      <w:r>
        <w:t xml:space="preserve">5.3 Canvas layout</w:t>
      </w:r>
    </w:p>
    <w:p>
      <w:pPr>
        <w:pStyle w:val="ListParagraph"/>
        <w:numPr>
          <w:ilvl w:val="0"/>
          <w:numId w:val="3"/>
        </w:numPr>
        <w:spacing w:after="80"/>
      </w:pPr>
      <w:r>
        <w:t xml:space="preserve">ST-01 Initialise Run</w:t>
      </w:r>
    </w:p>
    <w:p>
      <w:pPr>
        <w:pStyle w:val="ListParagraph"/>
        <w:numPr>
          <w:ilvl w:val="0"/>
          <w:numId w:val="3"/>
        </w:numPr>
        <w:spacing w:after="80"/>
      </w:pPr>
      <w:r>
        <w:t xml:space="preserve">ST-02 Mutex Check &amp; Acquire</w:t>
      </w:r>
    </w:p>
    <w:p>
      <w:pPr>
        <w:pStyle w:val="ListParagraph"/>
        <w:numPr>
          <w:ilvl w:val="0"/>
          <w:numId w:val="3"/>
        </w:numPr>
        <w:spacing w:after="80"/>
      </w:pPr>
      <w:r>
        <w:t xml:space="preserve">ST-03 Enumerate vCenters</w:t>
      </w:r>
    </w:p>
    <w:p>
      <w:pPr>
        <w:pStyle w:val="ListParagraph"/>
        <w:numPr>
          <w:ilvl w:val="0"/>
          <w:numId w:val="3"/>
        </w:numPr>
        <w:spacing w:after="80"/>
      </w:pPr>
      <w:r>
        <w:t xml:space="preserve">ST-04 Candidates Check</w:t>
      </w:r>
    </w:p>
    <w:p>
      <w:pPr>
        <w:pStyle w:val="ListParagraph"/>
        <w:numPr>
          <w:ilvl w:val="0"/>
          <w:numId w:val="3"/>
        </w:numPr>
        <w:spacing w:after="80"/>
      </w:pPr>
      <w:r>
        <w:t xml:space="preserve">Decision: candidatesFound → true = ST-05, false = ST-09</w:t>
      </w:r>
    </w:p>
    <w:p>
      <w:pPr>
        <w:pStyle w:val="ListParagraph"/>
        <w:numPr>
          <w:ilvl w:val="0"/>
          <w:numId w:val="3"/>
        </w:numPr>
        <w:spacing w:after="80"/>
      </w:pPr>
      <w:r>
        <w:t xml:space="preserve">ST-05 Sort &amp; Split Lanes</w:t>
      </w:r>
    </w:p>
    <w:p>
      <w:pPr>
        <w:pStyle w:val="ListParagraph"/>
        <w:numPr>
          <w:ilvl w:val="0"/>
          <w:numId w:val="3"/>
        </w:numPr>
        <w:spacing w:after="80"/>
      </w:pPr>
      <w:r>
        <w:t xml:space="preserve">ST-06 Process Powered-On VMs</w:t>
      </w:r>
    </w:p>
    <w:p>
      <w:pPr>
        <w:pStyle w:val="ListParagraph"/>
        <w:numPr>
          <w:ilvl w:val="0"/>
          <w:numId w:val="3"/>
        </w:numPr>
        <w:spacing w:after="80"/>
      </w:pPr>
      <w:r>
        <w:t xml:space="preserve">ST-07 Process Powered-Off VMs</w:t>
      </w:r>
    </w:p>
    <w:p>
      <w:pPr>
        <w:pStyle w:val="ListParagraph"/>
        <w:numPr>
          <w:ilvl w:val="0"/>
          <w:numId w:val="3"/>
        </w:numPr>
        <w:spacing w:after="80"/>
      </w:pPr>
      <w:r>
        <w:t xml:space="preserve">ST-09 Release Mutex &amp; Finalise</w:t>
      </w:r>
    </w:p>
    <w:p>
      <w:pPr>
        <w:pStyle w:val="ListParagraph"/>
        <w:numPr>
          <w:ilvl w:val="0"/>
          <w:numId w:val="3"/>
        </w:numPr>
        <w:spacing w:after="80"/>
      </w:pPr>
      <w:r>
        <w:t xml:space="preserve">Exception Handler (connected from every task’s error output)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
        <w:gridCol w:w="9240"/>
      </w:tblGrid>
      <w:tr>
        <w:tc>
          <w:tcPr>
            <w:tcW w:type="dxa" w:w="120"/>
            <w:tcBorders>
              <w:top w:val="none"/>
              <w:left w:val="none"/>
              <w:bottom w:val="none"/>
              <w:right w:val="none"/>
            </w:tcBorders>
            <w:shd w:fill="BF8F00" w:val="clear"/>
            <w:tcMar>
              <w:top w:type="dxa" w:w="0"/>
              <w:left w:type="dxa" w:w="0"/>
              <w:bottom w:type="dxa" w:w="0"/>
              <w:right w:type="dxa" w:w="0"/>
            </w:tcMar>
          </w:tcPr>
          <w:p>
            <w:pPr>
              <w:spacing w:after="0"/>
            </w:pPr>
            <w:r>
              <w:t xml:space="preserve"> </w:t>
            </w:r>
          </w:p>
        </w:tc>
        <w:tc>
          <w:tcPr>
            <w:tcW w:type="dxa" w:w="9240"/>
            <w:tcBorders>
              <w:top w:val="none"/>
              <w:left w:val="none"/>
              <w:bottom w:val="none"/>
              <w:right w:val="none"/>
            </w:tcBorders>
            <w:shd w:fill="FFF2CC" w:val="clear"/>
            <w:tcMar>
              <w:top w:type="dxa" w:w="140"/>
              <w:left w:type="dxa" w:w="200"/>
              <w:bottom w:type="dxa" w:w="140"/>
              <w:right w:type="dxa" w:w="200"/>
            </w:tcMar>
          </w:tcPr>
          <w:p>
            <w:pPr>
              <w:spacing w:after="60"/>
            </w:pPr>
            <w:r>
              <w:rPr>
                <w:b/>
                <w:bCs/>
                <w:sz w:val="22"/>
                <w:szCs w:val="22"/>
              </w:rPr>
              <w:t xml:space="preserve">Bind errorCode on the Exception Handler</w:t>
            </w:r>
          </w:p>
          <w:p>
            <w:pPr>
              <w:spacing w:after="0"/>
            </w:pPr>
            <w:r>
              <w:rPr>
                <w:sz w:val="22"/>
                <w:szCs w:val="22"/>
              </w:rPr>
              <w:t xml:space="preserve">The errorCode variable must be bound on the Exception element’s own Input Bindings tab. Without this binding the EH cannot classify MUTEX_ABORT vs CLEAN_EXIT vs ERROR.</w:t>
            </w:r>
          </w:p>
        </w:tc>
      </w:tr>
    </w:tbl>
    <w:p>
      <w:pPr>
        <w:pStyle w:val="Heading1"/>
      </w:pPr>
      <w:r>
        <w:t xml:space="preserve">6. Step 4 — Configure the Schedule</w:t>
      </w:r>
    </w:p>
    <w:p>
      <w:pPr>
        <w:pStyle w:val="ListParagraph"/>
        <w:numPr>
          <w:ilvl w:val="0"/>
          <w:numId w:val="3"/>
        </w:numPr>
        <w:spacing w:after="80"/>
      </w:pPr>
      <w:r>
        <w:t xml:space="preserve">Workflow → Schedule tab → Schedule Workflow.</w:t>
      </w:r>
    </w:p>
    <w:p>
      <w:pPr>
        <w:pStyle w:val="ListParagraph"/>
        <w:numPr>
          <w:ilvl w:val="0"/>
          <w:numId w:val="3"/>
        </w:numPr>
        <w:spacing w:after="80"/>
      </w:pPr>
      <w:r>
        <w:t xml:space="preserve">Set recurrence (daily at a low-traffic hour, e.g. 03:00).</w:t>
      </w:r>
    </w:p>
    <w:p>
      <w:pPr>
        <w:pStyle w:val="ListParagraph"/>
        <w:numPr>
          <w:ilvl w:val="0"/>
          <w:numId w:val="3"/>
        </w:numPr>
        <w:spacing w:after="80"/>
      </w:pPr>
      <w:r>
        <w:t xml:space="preserve">On the schedule’s Inputs tab, set descIgnoreStrings to the array of keywords agreed with backup and DR operations. Example: ["BACKUP-DO-NOT-DELETE", "DR-HOLD", "KEEP"].</w:t>
      </w:r>
    </w:p>
    <w:p>
      <w:pPr>
        <w:pStyle w:val="ListParagraph"/>
        <w:numPr>
          <w:ilvl w:val="0"/>
          <w:numId w:val="3"/>
        </w:numPr>
        <w:spacing w:after="80"/>
      </w:pPr>
      <w:r>
        <w:t xml:space="preserve">Override dryRun = false once past the observation period.</w:t>
      </w:r>
    </w:p>
    <w:p>
      <w:pPr>
        <w:pStyle w:val="ListParagraph"/>
        <w:numPr>
          <w:ilvl w:val="0"/>
          <w:numId w:val="3"/>
        </w:numPr>
        <w:spacing w:after="80"/>
      </w:pPr>
      <w:r>
        <w:t xml:space="preserve">Save.</w:t>
      </w:r>
    </w:p>
    <w:p>
      <w:pPr>
        <w:pStyle w:val="Heading1"/>
      </w:pPr>
      <w:r>
        <w:t xml:space="preserve">7. Step 5 — Smoke Test</w:t>
      </w:r>
    </w:p>
    <w:p>
      <w:pPr>
        <w:pStyle w:val="Heading2"/>
      </w:pPr>
      <w:r>
        <w:t xml:space="preserve">7.1 Manual dry run</w:t>
      </w:r>
    </w:p>
    <w:p>
      <w:pPr>
        <w:pStyle w:val="ListParagraph"/>
        <w:numPr>
          <w:ilvl w:val="0"/>
          <w:numId w:val="3"/>
        </w:numPr>
        <w:spacing w:after="80"/>
      </w:pPr>
      <w:r>
        <w:t xml:space="preserve">Right-click the workflow → Run.</w:t>
      </w:r>
    </w:p>
    <w:p>
      <w:pPr>
        <w:pStyle w:val="ListParagraph"/>
        <w:numPr>
          <w:ilvl w:val="0"/>
          <w:numId w:val="3"/>
        </w:numPr>
        <w:spacing w:after="80"/>
      </w:pPr>
      <w:r>
        <w:t xml:space="preserve">Confirm dryRun = true, maxAgeMinutes set low (5–60), descIgnoreStrings set to your agreed array.</w:t>
      </w:r>
    </w:p>
    <w:p>
      <w:pPr>
        <w:pStyle w:val="ListParagraph"/>
        <w:numPr>
          <w:ilvl w:val="0"/>
          <w:numId w:val="3"/>
        </w:numPr>
        <w:spacing w:after="80"/>
      </w:pPr>
      <w:r>
        <w:t xml:space="preserve">Open the Logs tab.</w:t>
      </w:r>
    </w:p>
    <w:p>
      <w:pPr>
        <w:spacing w:after="120"/>
      </w:pPr>
      <w:r>
        <w:t xml:space="preserve">Expected log markers:</w:t>
      </w:r>
    </w:p>
    <w:p>
      <w:pPr>
        <w:shd w:fill="F2F2F2" w:val="clear"/>
        <w:spacing w:after="0" w:before="0"/>
        <w:ind w:left="360"/>
      </w:pPr>
      <w:r>
        <w:rPr>
          <w:rFonts w:ascii="Consolas" w:cs="Consolas" w:eastAsia="Consolas" w:hAnsi="Consolas"/>
          <w:sz w:val="18"/>
          <w:szCs w:val="18"/>
        </w:rPr>
        <w:t xml:space="preserve">[SNAPSHOT-CLEANUP] [STARTUP]    [OK]      Adaptive Snapshot Cleanup -- Starting up</w:t>
      </w:r>
    </w:p>
    <w:p>
      <w:pPr>
        <w:shd w:fill="F2F2F2" w:val="clear"/>
        <w:spacing w:after="0" w:before="0"/>
        <w:ind w:left="360"/>
      </w:pPr>
      <w:r>
        <w:rPr>
          <w:rFonts w:ascii="Consolas" w:cs="Consolas" w:eastAsia="Consolas" w:hAnsi="Consolas"/>
          <w:sz w:val="18"/>
          <w:szCs w:val="18"/>
        </w:rPr>
        <w:t xml:space="preserve">[SNAPSHOT-CLEANUP] [STARTUP]    [OK]      Desc ignore : 3 keyword(s): BACKUP-DO-NOT-DELETE, DR-HOLD, KEEP</w:t>
      </w:r>
    </w:p>
    <w:p>
      <w:pPr>
        <w:shd w:fill="F2F2F2" w:val="clear"/>
        <w:spacing w:after="0" w:before="0"/>
        <w:ind w:left="360"/>
      </w:pPr>
      <w:r>
        <w:rPr>
          <w:rFonts w:ascii="Consolas" w:cs="Consolas" w:eastAsia="Consolas" w:hAnsi="Consolas"/>
          <w:sz w:val="18"/>
          <w:szCs w:val="18"/>
        </w:rPr>
        <w:t xml:space="preserve">[SNAPSHOT-CLEANUP] [STARTUP]    [OK]      Lock acquired</w:t>
      </w:r>
    </w:p>
    <w:p>
      <w:pPr>
        <w:shd w:fill="F2F2F2" w:val="clear"/>
        <w:spacing w:after="0" w:before="0"/>
        <w:ind w:left="360"/>
      </w:pPr>
      <w:r>
        <w:rPr>
          <w:rFonts w:ascii="Consolas" w:cs="Consolas" w:eastAsia="Consolas" w:hAnsi="Consolas"/>
          <w:sz w:val="18"/>
          <w:szCs w:val="18"/>
        </w:rPr>
        <w:t xml:space="preserve">[SNAPSHOT-CLEANUP] [INVENTORY]  [OK]      Scan complete -- M eligible snapshot(s) found</w:t>
      </w:r>
    </w:p>
    <w:p>
      <w:pPr>
        <w:shd w:fill="F2F2F2" w:val="clear"/>
        <w:spacing w:after="0" w:before="0"/>
        <w:ind w:left="360"/>
      </w:pPr>
      <w:r>
        <w:rPr>
          <w:rFonts w:ascii="Consolas" w:cs="Consolas" w:eastAsia="Consolas" w:hAnsi="Consolas"/>
          <w:sz w:val="18"/>
          <w:szCs w:val="18"/>
        </w:rPr>
        <w:t xml:space="preserve">[SNAPSHOT-CLEANUP] [PROCESSING] [DRY-RUN] Would delete: ...</w:t>
      </w:r>
    </w:p>
    <w:p>
      <w:pPr>
        <w:shd w:fill="F2F2F2" w:val="clear"/>
        <w:spacing w:after="0" w:before="0"/>
        <w:ind w:left="360"/>
      </w:pPr>
      <w:r>
        <w:rPr>
          <w:rFonts w:ascii="Consolas" w:cs="Consolas" w:eastAsia="Consolas" w:hAnsi="Consolas"/>
          <w:sz w:val="18"/>
          <w:szCs w:val="18"/>
        </w:rPr>
        <w:t xml:space="preserve">[SNAPSHOT-CLEANUP] [FINALISE]   [RESULT]  Result : DRY RUN COMPLETE</w:t>
      </w:r>
    </w:p>
    <w:p>
      <w:pPr>
        <w:pStyle w:val="Heading2"/>
      </w:pPr>
      <w:r>
        <w:t xml:space="preserve">7.2 Verify lock release and log ingestion</w:t>
      </w:r>
    </w:p>
    <w:p>
      <w:pPr>
        <w:pStyle w:val="ListParagraph"/>
        <w:numPr>
          <w:ilvl w:val="0"/>
          <w:numId w:val="2"/>
        </w:numPr>
        <w:spacing w:after="80"/>
      </w:pPr>
      <w:r>
        <w:t xml:space="preserve">Confirm runLock is empty in SnapshotCleanup/RuntimeState.</w:t>
      </w:r>
    </w:p>
    <w:p>
      <w:pPr>
        <w:pStyle w:val="ListParagraph"/>
        <w:numPr>
          <w:ilvl w:val="0"/>
          <w:numId w:val="2"/>
        </w:numPr>
        <w:spacing w:after="80"/>
      </w:pPr>
      <w:r>
        <w:t xml:space="preserve">Search Aria Operations for Logs for [SNAPSHOT-CLEANUP] in the past hour.</w:t>
      </w:r>
    </w:p>
    <w:p>
      <w:pPr>
        <w:pStyle w:val="Heading1"/>
      </w:pPr>
      <w:r>
        <w:t xml:space="preserve">8. Going Live</w:t>
      </w:r>
    </w:p>
    <w:p>
      <w:pPr>
        <w:pStyle w:val="ListParagraph"/>
        <w:numPr>
          <w:ilvl w:val="0"/>
          <w:numId w:val="3"/>
        </w:numPr>
        <w:spacing w:after="80"/>
      </w:pPr>
      <w:r>
        <w:t xml:space="preserve">Manual dry run with production maxAgeMinutes (10080). Confirm no [FAIL] entries.</w:t>
      </w:r>
    </w:p>
    <w:p>
      <w:pPr>
        <w:pStyle w:val="ListParagraph"/>
        <w:numPr>
          <w:ilvl w:val="0"/>
          <w:numId w:val="3"/>
        </w:numPr>
        <w:spacing w:after="80"/>
      </w:pPr>
      <w:r>
        <w:t xml:space="preserve">Enable the schedule with dryRun = true. Observe for one week.</w:t>
      </w:r>
    </w:p>
    <w:p>
      <w:pPr>
        <w:pStyle w:val="ListParagraph"/>
        <w:numPr>
          <w:ilvl w:val="0"/>
          <w:numId w:val="3"/>
        </w:numPr>
        <w:spacing w:after="80"/>
      </w:pPr>
      <w:r>
        <w:t xml:space="preserve">Review every result block. Investigate any deferrals or errors.</w:t>
      </w:r>
    </w:p>
    <w:p>
      <w:pPr>
        <w:pStyle w:val="ListParagraph"/>
        <w:numPr>
          <w:ilvl w:val="0"/>
          <w:numId w:val="3"/>
        </w:numPr>
        <w:spacing w:after="80"/>
      </w:pPr>
      <w:r>
        <w:t xml:space="preserve">Edit the schedule and set dryRun = false. Keep the workflow input default as true.</w:t>
      </w:r>
    </w:p>
    <w:p>
      <w:pPr>
        <w:pStyle w:val="ListParagraph"/>
        <w:numPr>
          <w:ilvl w:val="0"/>
          <w:numId w:val="3"/>
        </w:numPr>
        <w:spacing w:after="80"/>
      </w:pPr>
      <w:r>
        <w:t xml:space="preserve">Daily review for one further week, then move to weekly review.</w:t>
      </w:r>
    </w:p>
    <w:p>
      <w:pPr>
        <w:pStyle w:val="Heading1"/>
      </w:pPr>
      <w:r>
        <w:t xml:space="preserve">9. Verification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6760"/>
        <w:gridCol w:w="2000"/>
      </w:tblGrid>
      <w:tr>
        <w:trPr>
          <w:tblHeader/>
        </w:trPr>
        <w:tc>
          <w:tcPr>
            <w:tcW w:type="dxa" w:w="6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w:t>
            </w:r>
          </w:p>
        </w:tc>
        <w:tc>
          <w:tcPr>
            <w:tcW w:type="dxa" w:w="676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Item</w:t>
            </w:r>
          </w:p>
        </w:tc>
        <w:tc>
          <w:tcPr>
            <w:tcW w:type="dxa" w:w="20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Verified?</w:t>
            </w:r>
          </w:p>
        </w:tc>
      </w:tr>
      <w:tr>
        <w:tc>
          <w:tcPr>
            <w:tcW w:type="dxa" w:w="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1</w:t>
            </w:r>
          </w:p>
        </w:tc>
        <w:tc>
          <w:tcPr>
            <w:tcW w:type="dxa" w:w="67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VCF version is 9.0.2+, embedded vRO is 8.17.x.</w:t>
            </w:r>
          </w:p>
        </w:tc>
        <w:tc>
          <w:tcPr>
            <w:tcW w:type="dxa" w:w="2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2</w:t>
            </w:r>
          </w:p>
        </w:tc>
        <w:tc>
          <w:tcPr>
            <w:tcW w:type="dxa" w:w="6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Every in-scope vCenter is registered with vRO.</w:t>
            </w:r>
          </w:p>
        </w:tc>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
            </w:r>
          </w:p>
        </w:tc>
      </w:tr>
      <w:tr>
        <w:tc>
          <w:tcPr>
            <w:tcW w:type="dxa" w:w="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3</w:t>
            </w:r>
          </w:p>
        </w:tc>
        <w:tc>
          <w:tcPr>
            <w:tcW w:type="dxa" w:w="67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vRO service account has Remove Snapshot privilege.</w:t>
            </w:r>
          </w:p>
        </w:tc>
        <w:tc>
          <w:tcPr>
            <w:tcW w:type="dxa" w:w="2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4</w:t>
            </w:r>
          </w:p>
        </w:tc>
        <w:tc>
          <w:tcPr>
            <w:tcW w:type="dxa" w:w="6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SnapshotCleanup/RuntimeState exists with runLock = empty string.</w:t>
            </w:r>
          </w:p>
        </w:tc>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
            </w:r>
          </w:p>
        </w:tc>
      </w:tr>
      <w:tr>
        <w:tc>
          <w:tcPr>
            <w:tcW w:type="dxa" w:w="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5</w:t>
            </w:r>
          </w:p>
        </w:tc>
        <w:tc>
          <w:tcPr>
            <w:tcW w:type="dxa" w:w="67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Action module com.broadcom.pso.vc.vm.snapshots contains _getSnapshotCandidates and _deleteSnapshot.</w:t>
            </w:r>
          </w:p>
        </w:tc>
        <w:tc>
          <w:tcPr>
            <w:tcW w:type="dxa" w:w="2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6</w:t>
            </w:r>
          </w:p>
        </w:tc>
        <w:tc>
          <w:tcPr>
            <w:tcW w:type="dxa" w:w="6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Action module com.broadcom.pso.vc.storage contains _getDatastoreMetrics and adaptiveGovernorCheck.</w:t>
            </w:r>
          </w:p>
        </w:tc>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
            </w:r>
          </w:p>
        </w:tc>
      </w:tr>
      <w:tr>
        <w:tc>
          <w:tcPr>
            <w:tcW w:type="dxa" w:w="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7</w:t>
            </w:r>
          </w:p>
        </w:tc>
        <w:tc>
          <w:tcPr>
            <w:tcW w:type="dxa" w:w="67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ST-07 no longer references "com.company.snapshotcleanup".</w:t>
            </w:r>
          </w:p>
        </w:tc>
        <w:tc>
          <w:tcPr>
            <w:tcW w:type="dxa" w:w="2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8</w:t>
            </w:r>
          </w:p>
        </w:tc>
        <w:tc>
          <w:tcPr>
            <w:tcW w:type="dxa" w:w="6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Wrapper workflow for ST-06 dispatch is created and bound.</w:t>
            </w:r>
          </w:p>
        </w:tc>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
            </w:r>
          </w:p>
        </w:tc>
      </w:tr>
      <w:tr>
        <w:tc>
          <w:tcPr>
            <w:tcW w:type="dxa" w:w="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9</w:t>
            </w:r>
          </w:p>
        </w:tc>
        <w:tc>
          <w:tcPr>
            <w:tcW w:type="dxa" w:w="67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descIgnoreStrings input is type Array/string (not string).</w:t>
            </w:r>
          </w:p>
        </w:tc>
        <w:tc>
          <w:tcPr>
            <w:tcW w:type="dxa" w:w="2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10</w:t>
            </w:r>
          </w:p>
        </w:tc>
        <w:tc>
          <w:tcPr>
            <w:tcW w:type="dxa" w:w="6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Decision element after ST-04 routes false to ST-09.</w:t>
            </w:r>
          </w:p>
        </w:tc>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
            </w:r>
          </w:p>
        </w:tc>
      </w:tr>
      <w:tr>
        <w:tc>
          <w:tcPr>
            <w:tcW w:type="dxa" w:w="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11</w:t>
            </w:r>
          </w:p>
        </w:tc>
        <w:tc>
          <w:tcPr>
            <w:tcW w:type="dxa" w:w="67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Every task’s exception output → Exception Handler.</w:t>
            </w:r>
          </w:p>
        </w:tc>
        <w:tc>
          <w:tcPr>
            <w:tcW w:type="dxa" w:w="2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12</w:t>
            </w:r>
          </w:p>
        </w:tc>
        <w:tc>
          <w:tcPr>
            <w:tcW w:type="dxa" w:w="6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EH errorCode bound on Input Bindings tab.</w:t>
            </w:r>
          </w:p>
        </w:tc>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
            </w:r>
          </w:p>
        </w:tc>
      </w:tr>
      <w:tr>
        <w:tc>
          <w:tcPr>
            <w:tcW w:type="dxa" w:w="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13</w:t>
            </w:r>
          </w:p>
        </w:tc>
        <w:tc>
          <w:tcPr>
            <w:tcW w:type="dxa" w:w="67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dryRun defaults to true.</w:t>
            </w:r>
          </w:p>
        </w:tc>
        <w:tc>
          <w:tcPr>
            <w:tcW w:type="dxa" w:w="2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14</w:t>
            </w:r>
          </w:p>
        </w:tc>
        <w:tc>
          <w:tcPr>
            <w:tcW w:type="dxa" w:w="6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Manual dry run completed with expected markers.</w:t>
            </w:r>
          </w:p>
        </w:tc>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
            </w:r>
          </w:p>
        </w:tc>
      </w:tr>
      <w:tr>
        <w:tc>
          <w:tcPr>
            <w:tcW w:type="dxa" w:w="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15</w:t>
            </w:r>
          </w:p>
        </w:tc>
        <w:tc>
          <w:tcPr>
            <w:tcW w:type="dxa" w:w="67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runLock empty after dry run.</w:t>
            </w:r>
          </w:p>
        </w:tc>
        <w:tc>
          <w:tcPr>
            <w:tcW w:type="dxa" w:w="2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16</w:t>
            </w:r>
          </w:p>
        </w:tc>
        <w:tc>
          <w:tcPr>
            <w:tcW w:type="dxa" w:w="6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Aria Operations for Logs receiving [SNAPSHOT-CLEANUP] events.</w:t>
            </w:r>
          </w:p>
        </w:tc>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
            </w:r>
          </w:p>
        </w:tc>
      </w:tr>
    </w:tbl>
    <w:p>
      <w:pPr>
        <w:spacing w:after="60"/>
      </w:pPr>
      <w:r>
        <w:t xml:space="preserve"> </w:t>
      </w:r>
    </w:p>
    <w:p>
      <w:pPr>
        <w:pStyle w:val="Heading1"/>
      </w:pPr>
      <w:r>
        <w:t xml:space="preserve">10. Rollback</w:t>
      </w:r>
    </w:p>
    <w:p>
      <w:pPr>
        <w:pStyle w:val="ListParagraph"/>
        <w:numPr>
          <w:ilvl w:val="0"/>
          <w:numId w:val="3"/>
        </w:numPr>
        <w:spacing w:after="80"/>
      </w:pPr>
      <w:r>
        <w:t xml:space="preserve">Disable the schedule (Schedule tab → Suspend).</w:t>
      </w:r>
    </w:p>
    <w:p>
      <w:pPr>
        <w:pStyle w:val="ListParagraph"/>
        <w:numPr>
          <w:ilvl w:val="0"/>
          <w:numId w:val="3"/>
        </w:numPr>
        <w:spacing w:after="80"/>
      </w:pPr>
      <w:r>
        <w:t xml:space="preserve">Confirm no run is in progress (Runs tab).</w:t>
      </w:r>
    </w:p>
    <w:p>
      <w:pPr>
        <w:pStyle w:val="ListParagraph"/>
        <w:numPr>
          <w:ilvl w:val="0"/>
          <w:numId w:val="3"/>
        </w:numPr>
        <w:spacing w:after="80"/>
      </w:pPr>
      <w:r>
        <w:t xml:space="preserve">Delete workflow, actions, and configuration element if desired. No external dependencies.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404040"/>
        <w:sz w:val="18"/>
        <w:szCs w:val="18"/>
      </w:rPr>
      <w:t xml:space="preserve">Page </w:t>
    </w:r>
    <w:r>
      <w:rPr>
        <w:color w:val="404040"/>
        <w:sz w:val="18"/>
        <w:szCs w:val="18"/>
      </w:rPr>
      <w:fldChar w:fldCharType="begin"/>
      <w:instrText xml:space="preserve">PAGE</w:instrText>
      <w:fldChar w:fldCharType="separate"/>
      <w:fldChar w:fldCharType="end"/>
    </w:r>
    <w:r>
      <w:rPr>
        <w:rFonts w:ascii="Arial" w:cs="Arial" w:eastAsia="Arial" w:hAnsi="Arial"/>
        <w:color w:val="404040"/>
        <w:sz w:val="18"/>
        <w:szCs w:val="18"/>
      </w:rPr>
      <w:t xml:space="preserve"> of </w:t>
    </w:r>
    <w:r>
      <w:rPr>
        <w:color w:val="40404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tabs>
        <w:tab w:val="right" w:pos="9026"/>
      </w:tabs>
    </w:pPr>
    <w:r>
      <w:rPr>
        <w:rFonts w:ascii="Arial" w:cs="Arial" w:eastAsia="Arial" w:hAnsi="Arial"/>
        <w:color w:val="404040"/>
        <w:sz w:val="18"/>
        <w:szCs w:val="18"/>
      </w:rPr>
      <w:t xml:space="preserve">Implementation Guide</w:t>
    </w:r>
    <w:r>
      <w:rPr>
        <w:rFonts w:ascii="Arial" w:cs="Arial" w:eastAsia="Arial" w:hAnsi="Arial"/>
        <w:i/>
        <w:iCs/>
        <w:color w:val="404040"/>
        <w:sz w:val="18"/>
        <w:szCs w:val="18"/>
      </w:rPr>
      <w:t xml:space="preserve">	Adaptive Snapshot Cleanup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1F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565C0" w:sz="6" w:space="4"/>
      </w:pBdr>
      <w:spacing w:after="180" w:before="360"/>
      <w:outlineLvl w:val="0"/>
    </w:pPr>
    <w:rPr>
      <w:rFonts w:ascii="Arial" w:cs="Arial" w:eastAsia="Arial" w:hAnsi="Arial"/>
      <w:b/>
      <w:bCs/>
      <w:color w:val="0A1F3D"/>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0A1F3D"/>
      <w:sz w:val="26"/>
      <w:szCs w:val="26"/>
    </w:rPr>
  </w:style>
  <w:style w:type="paragraph" w:styleId="Heading3">
    <w:name w:val="Heading 3"/>
    <w:basedOn w:val="Normal"/>
    <w:next w:val="Normal"/>
    <w:qFormat/>
    <w:pPr>
      <w:spacing w:after="80" w:before="220"/>
      <w:outlineLvl w:val="2"/>
    </w:pPr>
    <w:rPr>
      <w:rFonts w:ascii="Arial" w:cs="Arial" w:eastAsia="Arial" w:hAnsi="Arial"/>
      <w:b/>
      <w:bCs/>
      <w:color w:val="1565C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a28ed9590e16f49c82eb6384f01a2a754076a45.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Implementation Guide</dc:title>
  <dc:creator>Adaptive Snapshot Cleanup</dc:creator>
  <cp:lastModifiedBy>Un-named</cp:lastModifiedBy>
  <cp:revision>1</cp:revision>
  <dcterms:created xsi:type="dcterms:W3CDTF">2026-04-23T15:43:51.703Z</dcterms:created>
  <dcterms:modified xsi:type="dcterms:W3CDTF">2026-04-23T15:43:51.704Z</dcterms:modified>
</cp:coreProperties>
</file>

<file path=docProps/custom.xml><?xml version="1.0" encoding="utf-8"?>
<Properties xmlns="http://schemas.openxmlformats.org/officeDocument/2006/custom-properties" xmlns:vt="http://schemas.openxmlformats.org/officeDocument/2006/docPropsVTypes"/>
</file>