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ae23e343fb1be7e5253bc797e42e4bcfd403704"/>
    <w:p>
      <w:pPr>
        <w:pStyle w:val="Heading1"/>
      </w:pPr>
      <w:r>
        <w:t xml:space="preserve">Move Archived Logs (By AD Group) — Executive Summary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Move-ArchivedLogs-ByADGroup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Ansible → VCF Orchestrator transition — "Move Windows Event Logs"</w:t>
      </w:r>
      <w:r>
        <w:t xml:space="preserve"> </w:t>
      </w:r>
      <w:r>
        <w:rPr>
          <w:b/>
          <w:bCs/>
        </w:rPr>
        <w:t xml:space="preserve">Platform:</w:t>
      </w:r>
      <w:r>
        <w:t xml:space="preserve"> </w:t>
      </w:r>
      <w:r>
        <w:t xml:space="preserve">VCF Automation 9 / VCF Operations Orchestrator 9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Phase 1</w:t>
      </w:r>
      <w:r>
        <w:t xml:space="preserve"> </w:t>
      </w:r>
      <w:r>
        <w:rPr>
          <w:b/>
          <w:bCs/>
        </w:rPr>
        <w:t xml:space="preserve">This set:</w:t>
      </w:r>
      <w:r>
        <w:t xml:space="preserve"> </w:t>
      </w:r>
      <w:r>
        <w:t xml:space="preserve">01 Executive Summary · 02 Design Document · 03 Implementation Guide · 04 User Guide · 05 Validation &amp; Testing Plan</w:t>
      </w:r>
      <w:r>
        <w:t xml:space="preserve"> </w:t>
      </w:r>
      <w:r>
        <w:rPr>
          <w:b/>
          <w:bCs/>
        </w:rPr>
        <w:t xml:space="preserve">Shared references:</w:t>
      </w:r>
      <w:r>
        <w:t xml:space="preserve"> </w:t>
      </w:r>
      <w:r>
        <w:t xml:space="preserve">../../_Shared/Documentation/Shared-Components.docx · ../../_Shared/Documentation/Change-Register.docx · ../../_Shared/Documentation/Ansible-to-vRO-MappingTable.docx · "How to Build a PowerShell Host" (Automation Projects/_Shared References/PowerShell Host Build Guide/)</w:t>
      </w:r>
    </w:p>
    <w:p>
      <w:r>
        <w:pict>
          <v:rect style="width:0;height:1.5pt" o:hralign="center" o:hrstd="t" o:hr="t"/>
        </w:pic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Replace the retiring Ansible automation that moves Windows event-log archives with one supported VCF Orchestrator workflow —</w:t>
      </w:r>
      <w:r>
        <w:t xml:space="preserve"> </w:t>
      </w:r>
      <w:r>
        <w:rPr>
          <w:b/>
          <w:bCs/>
        </w:rPr>
        <w:t xml:space="preserve">Move-ArchivedLogs-ByADGroup</w:t>
      </w:r>
      <w:r>
        <w:t xml:space="preserve"> </w:t>
      </w:r>
      <w:r>
        <w:t xml:space="preserve">— reusing the proven</w:t>
      </w:r>
      <w:r>
        <w:t xml:space="preserve"> </w:t>
      </w:r>
      <w:r>
        <w:rPr>
          <w:rStyle w:val="VerbatimChar"/>
        </w:rPr>
        <w:t xml:space="preserve">cvs_functions.ps1</w:t>
      </w:r>
      <w:r>
        <w:t xml:space="preserve"> </w:t>
      </w:r>
      <w:r>
        <w:t xml:space="preserve">PowerShell logic rather than rewriting it.</w:t>
      </w:r>
    </w:p>
    <w:p>
      <w:pPr>
        <w:pStyle w:val="BodyText"/>
      </w:pPr>
      <w:r>
        <w:t xml:space="preserve">Business outcome: automated offload of Windows</w:t>
      </w:r>
      <w:r>
        <w:t xml:space="preserve"> </w:t>
      </w:r>
      <w:r>
        <w:rPr>
          <w:rStyle w:val="VerbatimChar"/>
        </w:rPr>
        <w:t xml:space="preserve">Archive-*.evtx</w:t>
      </w:r>
      <w:r>
        <w:t xml:space="preserve"> </w:t>
      </w:r>
      <w:r>
        <w:t xml:space="preserve">logs continues uninterrupted after Ansible is decommissioned, on a platform the customer already owns.</w:t>
      </w:r>
    </w:p>
    <w:bookmarkEnd w:id="9"/>
    <w:bookmarkStart w:id="10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rPr>
          <w:b/>
          <w:bCs/>
        </w:rPr>
        <w:t xml:space="preserve">In scope</w:t>
      </w:r>
    </w:p>
    <w:p>
      <w:pPr>
        <w:pStyle w:val="Compact"/>
        <w:numPr>
          <w:ilvl w:val="0"/>
          <w:numId w:val="1001"/>
        </w:numPr>
      </w:pPr>
      <w:r>
        <w:t xml:space="preserve">One Orchestrator workflow:</w:t>
      </w:r>
      <w:r>
        <w:t xml:space="preserve"> </w:t>
      </w:r>
      <w:r>
        <w:rPr>
          <w:b/>
          <w:bCs/>
        </w:rPr>
        <w:t xml:space="preserve">Move-ArchivedLogs-ByADGroup</w:t>
      </w:r>
      <w:r>
        <w:t xml:space="preserve"> </w:t>
      </w:r>
      <w:r>
        <w:t xml:space="preserve">— move</w:t>
      </w:r>
      <w:r>
        <w:t xml:space="preserve"> </w:t>
      </w:r>
      <w:r>
        <w:rPr>
          <w:rStyle w:val="VerbatimChar"/>
        </w:rPr>
        <w:t xml:space="preserve">Archive-*.evtx</w:t>
      </w:r>
      <w:r>
        <w:t xml:space="preserve"> </w:t>
      </w:r>
      <w:r>
        <w:t xml:space="preserve">off every</w:t>
      </w:r>
      <w:r>
        <w:t xml:space="preserve"> </w:t>
      </w:r>
      <w:r>
        <w:rPr>
          <w:b/>
          <w:bCs/>
        </w:rPr>
        <w:t xml:space="preserve">enabled</w:t>
      </w:r>
      <w:r>
        <w:t xml:space="preserve"> </w:t>
      </w:r>
      <w:r>
        <w:t xml:space="preserve">member of an AD group to a central archive share, into a per-server subfolder.</w:t>
      </w:r>
    </w:p>
    <w:p>
      <w:pPr>
        <w:pStyle w:val="Compact"/>
        <w:numPr>
          <w:ilvl w:val="0"/>
          <w:numId w:val="1001"/>
        </w:numPr>
      </w:pPr>
      <w:r>
        <w:t xml:space="preserve">The deliverable-specific action</w:t>
      </w:r>
      <w:r>
        <w:t xml:space="preserve"> </w:t>
      </w:r>
      <w:r>
        <w:rPr>
          <w:b/>
          <w:bCs/>
        </w:rPr>
        <w:t xml:space="preserve">buildMoveByADGroupInvocation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Reuse of shared components on a PowerShell (PS) host:</w:t>
      </w:r>
      <w:r>
        <w:t xml:space="preserve"> </w:t>
      </w:r>
      <w:r>
        <w:rPr>
          <w:rStyle w:val="VerbatimChar"/>
        </w:rPr>
        <w:t xml:space="preserve">cvs_functions.ps1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parseScriptOutput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handlePSFailure</w:t>
      </w:r>
      <w:r>
        <w:t xml:space="preserve">, and the OOTB</w:t>
      </w:r>
      <w:r>
        <w:t xml:space="preserve"> </w:t>
      </w:r>
      <w:r>
        <w:rPr>
          <w:i/>
          <w:iCs/>
        </w:rPr>
        <w:t xml:space="preserve">Invoke a PowerShell script</w:t>
      </w:r>
      <w:r>
        <w:t xml:space="preserve"> </w:t>
      </w:r>
      <w:r>
        <w:t xml:space="preserve">workflow (documented in Shared-Components.docx).</w:t>
      </w:r>
    </w:p>
    <w:p>
      <w:pPr>
        <w:pStyle w:val="FirstParagraph"/>
      </w:pPr>
      <w:r>
        <w:rPr>
          <w:b/>
          <w:bCs/>
        </w:rPr>
        <w:t xml:space="preserve">Out of scope</w:t>
      </w:r>
    </w:p>
    <w:p>
      <w:pPr>
        <w:pStyle w:val="Compact"/>
        <w:numPr>
          <w:ilvl w:val="0"/>
          <w:numId w:val="1002"/>
        </w:numPr>
      </w:pPr>
      <w:r>
        <w:t xml:space="preserve">The archive-share cleanup workflow (a separate deliverable).</w:t>
      </w:r>
    </w:p>
    <w:p>
      <w:pPr>
        <w:pStyle w:val="Compact"/>
        <w:numPr>
          <w:ilvl w:val="0"/>
          <w:numId w:val="1002"/>
        </w:numPr>
      </w:pPr>
      <w:r>
        <w:t xml:space="preserve">Per-server structured status reporting in Orchestrator (Phase 2).</w:t>
      </w:r>
    </w:p>
    <w:p>
      <w:pPr>
        <w:pStyle w:val="Compact"/>
        <w:numPr>
          <w:ilvl w:val="0"/>
          <w:numId w:val="1002"/>
        </w:numPr>
      </w:pPr>
      <w:r>
        <w:t xml:space="preserve">Email reporting on completion (Phase 2).</w:t>
      </w:r>
    </w:p>
    <w:p>
      <w:pPr>
        <w:pStyle w:val="Compact"/>
        <w:numPr>
          <w:ilvl w:val="0"/>
          <w:numId w:val="1002"/>
        </w:numPr>
      </w:pPr>
      <w:r>
        <w:t xml:space="preserve">Broader refactor/optimization of</w:t>
      </w:r>
      <w:r>
        <w:t xml:space="preserve"> </w:t>
      </w:r>
      <w:r>
        <w:rPr>
          <w:rStyle w:val="VerbatimChar"/>
        </w:rPr>
        <w:t xml:space="preserve">cvs_functions.ps1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Provisioning of the archive file share and AD groups (customer prerequisites).</w:t>
      </w:r>
    </w:p>
    <w:bookmarkEnd w:id="10"/>
    <w:bookmarkStart w:id="11" w:name="key-benefits"/>
    <w:p>
      <w:pPr>
        <w:pStyle w:val="Heading2"/>
      </w:pPr>
      <w:r>
        <w:t xml:space="preserve">Key benefits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Consolidation:</w:t>
      </w:r>
      <w:r>
        <w:t xml:space="preserve"> </w:t>
      </w:r>
      <w:r>
        <w:t xml:space="preserve">the former local-execution and three near-duplicate AD-targeting variants collapse into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recursive, enabled-only method (</w:t>
      </w:r>
      <w:r>
        <w:rPr>
          <w:rStyle w:val="VerbatimChar"/>
        </w:rPr>
        <w:t xml:space="preserve">Get-ListOfServers-ByCN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Operator-driven and parameterized:</w:t>
      </w:r>
      <w:r>
        <w:t xml:space="preserve"> </w:t>
      </w:r>
      <w:r>
        <w:t xml:space="preserve">domain, group (DN), script path, file-share target, file filter, and file age are all workflow inputs, with defaults set directly on each input.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Resilient by design:</w:t>
      </w:r>
      <w:r>
        <w:t xml:space="preserve"> </w:t>
      </w:r>
      <w:r>
        <w:t xml:space="preserve">disabled members are skipped and logged; an enabled-but-unreachable member is logged and skipped while the remaining moves continue; only a failure that would break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move fails the run.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Standardized:</w:t>
      </w:r>
      <w:r>
        <w:t xml:space="preserve"> </w:t>
      </w:r>
      <w:r>
        <w:t xml:space="preserve">one code path for all hosts — the PS host itself is handled as an ordinary AD-group member, eliminating the former "local execution" special case.</w:t>
      </w:r>
    </w:p>
    <w:bookmarkEnd w:id="11"/>
    <w:bookmarkStart w:id="12" w:name="key-risks"/>
    <w:p>
      <w:pPr>
        <w:pStyle w:val="Heading2"/>
      </w:pPr>
      <w:r>
        <w:t xml:space="preserve">Key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Second-hop authentication</w:t>
            </w:r>
            <w:r>
              <w:t xml:space="preserve"> </w:t>
            </w:r>
            <w:r>
              <w:t xml:space="preserve">(PS host → remote</w:t>
            </w:r>
            <w:r>
              <w:t xml:space="preserve"> </w:t>
            </w:r>
            <w:r>
              <w:rPr>
                <w:rStyle w:val="VerbatimChar"/>
              </w:rPr>
              <w:t xml:space="preserve">\\server\C$</w:t>
            </w:r>
            <w:r>
              <w:t xml:space="preserve"> </w:t>
            </w:r>
            <w:r>
              <w:t xml:space="preserve">source and</w:t>
            </w:r>
            <w:r>
              <w:t xml:space="preserve"> </w:t>
            </w:r>
            <w:r>
              <w:rPr>
                <w:rStyle w:val="VerbatimChar"/>
              </w:rPr>
              <w:t xml:space="preserve">\\fileshare</w:t>
            </w:r>
            <w:r>
              <w:t xml:space="preserve"> </w:t>
            </w:r>
            <w:r>
              <w:t xml:space="preserve">destination)</w:t>
            </w:r>
          </w:p>
        </w:tc>
        <w:tc>
          <w:tcPr/>
          <w:p>
            <w:pPr>
              <w:pStyle w:val="Compact"/>
            </w:pPr>
            <w:r>
              <w:t xml:space="preserve">Move fails access-denied if the credential cannot be delegated</w:t>
            </w:r>
          </w:p>
        </w:tc>
        <w:tc>
          <w:tcPr/>
          <w:p>
            <w:pPr>
              <w:pStyle w:val="Compact"/>
            </w:pPr>
            <w:r>
              <w:t xml:space="preserve">Kerberos + constrained delegation (production) or Basic-over-HTTPS (lab);</w:t>
            </w:r>
            <w:r>
              <w:t xml:space="preserve"> </w:t>
            </w:r>
            <w:r>
              <w:rPr>
                <w:b/>
                <w:bCs/>
              </w:rPr>
              <w:t xml:space="preserve">validate the hop before go-live</w:t>
            </w:r>
            <w:r>
              <w:t xml:space="preserve"> </w:t>
            </w:r>
            <w:r>
              <w:t xml:space="preserve">(Implementation Guide)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 "enabled" ≠ host reachable</w:t>
            </w:r>
          </w:p>
        </w:tc>
        <w:tc>
          <w:tcPr/>
          <w:p>
            <w:pPr>
              <w:pStyle w:val="Compact"/>
            </w:pPr>
            <w:r>
              <w:t xml:space="preserve">An enabled-but-offline computer object (e.g.</w:t>
            </w:r>
            <w:r>
              <w:t xml:space="preserve"> </w:t>
            </w:r>
            <w:r>
              <w:rPr>
                <w:rStyle w:val="VerbatimChar"/>
              </w:rPr>
              <w:t xml:space="preserve">disabledsrv01</w:t>
            </w:r>
            <w:r>
              <w:t xml:space="preserve">) is still processed and errors</w:t>
            </w:r>
          </w:p>
        </w:tc>
        <w:tc>
          <w:tcPr/>
          <w:p>
            <w:pPr>
              <w:pStyle w:val="Compact"/>
            </w:pPr>
            <w:r>
              <w:t xml:space="preserve">To exclude a host,</w:t>
            </w:r>
            <w:r>
              <w:t xml:space="preserve"> </w:t>
            </w:r>
            <w:r>
              <w:rPr>
                <w:rStyle w:val="VerbatimChar"/>
              </w:rPr>
              <w:t xml:space="preserve">Disable-ADAccount</w:t>
            </w:r>
            <w:r>
              <w:t xml:space="preserve"> </w:t>
            </w:r>
            <w:r>
              <w:t xml:space="preserve">it or remove it from the 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RSAT ActiveDirectory module missing</w:t>
            </w:r>
            <w:r>
              <w:t xml:space="preserve"> </w:t>
            </w:r>
            <w:r>
              <w:t xml:space="preserve">on the PS host</w:t>
            </w:r>
          </w:p>
        </w:tc>
        <w:tc>
          <w:tcPr/>
          <w:p>
            <w:pPr>
              <w:pStyle w:val="Compact"/>
            </w:pPr>
            <w:r>
              <w:t xml:space="preserve">AD resolution fails; run terminates (Failed: PS Execution)</w:t>
            </w:r>
          </w:p>
        </w:tc>
        <w:tc>
          <w:tcPr/>
          <w:p>
            <w:pPr>
              <w:pStyle w:val="Compact"/>
            </w:pPr>
            <w:r>
              <w:t xml:space="preserve">Install RSAT AD tools on the PS host before go-live (see PS-Host guide)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Script version drift</w:t>
            </w:r>
          </w:p>
        </w:tc>
        <w:tc>
          <w:tcPr/>
          <w:p>
            <w:pPr>
              <w:pStyle w:val="Compact"/>
            </w:pPr>
            <w:r>
              <w:t xml:space="preserve">Behavior depends on the updated</w:t>
            </w:r>
            <w:r>
              <w:t xml:space="preserve"> </w:t>
            </w:r>
            <w:r>
              <w:rPr>
                <w:rStyle w:val="VerbatimChar"/>
              </w:rPr>
              <w:t xml:space="preserve">cvs_functions.ps1</w:t>
            </w:r>
            <w:r>
              <w:t xml:space="preserve"> </w:t>
            </w:r>
            <w:r>
              <w:t xml:space="preserve">(changes S-1…S-5)</w:t>
            </w:r>
          </w:p>
        </w:tc>
        <w:tc>
          <w:tcPr/>
          <w:p>
            <w:pPr>
              <w:pStyle w:val="Compact"/>
            </w:pPr>
            <w:r>
              <w:t xml:space="preserve">Deploy/verify the updated script first (Change-Register, shared)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Certificate trust &amp; Kerberos setup</w:t>
            </w:r>
          </w:p>
        </w:tc>
        <w:tc>
          <w:tcPr/>
          <w:p>
            <w:pPr>
              <w:pStyle w:val="Compact"/>
            </w:pPr>
            <w:r>
              <w:t xml:space="preserve">Host registration fails on untrusted cert or misconfigured</w:t>
            </w:r>
            <w:r>
              <w:t xml:space="preserve"> </w:t>
            </w:r>
            <w:r>
              <w:rPr>
                <w:rStyle w:val="VerbatimChar"/>
              </w:rPr>
              <w:t xml:space="preserve">krb5.conf</w:t>
            </w:r>
          </w:p>
        </w:tc>
        <w:tc>
          <w:tcPr/>
          <w:p>
            <w:pPr>
              <w:pStyle w:val="Compact"/>
            </w:pPr>
            <w:r>
              <w:t xml:space="preserve">Import cert to Orchestrator trust store; follow the PS-Host guide for Kerberos</w:t>
            </w:r>
          </w:p>
        </w:tc>
      </w:tr>
    </w:tbl>
    <w:bookmarkEnd w:id="12"/>
    <w:bookmarkStart w:id="13" w:name="high-level-approach"/>
    <w:p>
      <w:pPr>
        <w:pStyle w:val="Heading2"/>
      </w:pPr>
      <w:r>
        <w:t xml:space="preserve">High-level approach</w:t>
      </w:r>
    </w:p>
    <w:p>
      <w:pPr>
        <w:pStyle w:val="Compact"/>
        <w:numPr>
          <w:ilvl w:val="0"/>
          <w:numId w:val="1004"/>
        </w:numPr>
      </w:pPr>
      <w:r>
        <w:t xml:space="preserve">Build/register the PS host (RSAT AD tools, WinRM HTTPS 5986, cert, auth) — shared "How to Build a PowerShell Host" guide.</w:t>
      </w:r>
    </w:p>
    <w:p>
      <w:pPr>
        <w:pStyle w:val="Compact"/>
        <w:numPr>
          <w:ilvl w:val="0"/>
          <w:numId w:val="1004"/>
        </w:numPr>
      </w:pPr>
      <w:r>
        <w:t xml:space="preserve">Deploy the updated</w:t>
      </w:r>
      <w:r>
        <w:t xml:space="preserve"> </w:t>
      </w:r>
      <w:r>
        <w:rPr>
          <w:rStyle w:val="VerbatimChar"/>
        </w:rPr>
        <w:t xml:space="preserve">cvs_functions.ps1</w:t>
      </w:r>
      <w:r>
        <w:t xml:space="preserve"> </w:t>
      </w:r>
      <w:r>
        <w:t xml:space="preserve">to the PS host.</w:t>
      </w:r>
    </w:p>
    <w:p>
      <w:pPr>
        <w:pStyle w:val="Compact"/>
        <w:numPr>
          <w:ilvl w:val="0"/>
          <w:numId w:val="1004"/>
        </w:numPr>
      </w:pPr>
      <w:r>
        <w:t xml:space="preserve">Import the</w:t>
      </w:r>
      <w:r>
        <w:t xml:space="preserve"> </w:t>
      </w:r>
      <w:r>
        <w:rPr>
          <w:rStyle w:val="VerbatimChar"/>
        </w:rPr>
        <w:t xml:space="preserve">buildMoveByADGroupInvocation</w:t>
      </w:r>
      <w:r>
        <w:t xml:space="preserve"> </w:t>
      </w:r>
      <w:r>
        <w:t xml:space="preserve">action, the shared</w:t>
      </w:r>
      <w:r>
        <w:t xml:space="preserve"> </w:t>
      </w:r>
      <w:r>
        <w:rPr>
          <w:rStyle w:val="VerbatimChar"/>
        </w:rPr>
        <w:t xml:space="preserve">parseScriptOutput</w:t>
      </w:r>
      <w:r>
        <w:t xml:space="preserve"> </w:t>
      </w:r>
      <w:r>
        <w:t xml:space="preserve">action, and build the Move workflow per its</w:t>
      </w:r>
      <w:r>
        <w:t xml:space="preserve"> </w:t>
      </w:r>
      <w:r>
        <w:rPr>
          <w:rStyle w:val="VerbatimChar"/>
        </w:rPr>
        <w:t xml:space="preserve">_spec.js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Validate end to end — including the second-hop file access — then operate via the workflow custom form (on demand or scheduled).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validate in a lab with Basic-over-HTTPS first, then adopt Kerberos + constrained delegation as the production-hardening step. The choice does not change the workflow design.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2026-07-14T12:57:41Z</dcterms:created>
  <dcterms:modified xsi:type="dcterms:W3CDTF">2026-07-14T12:57:41Z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