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t xml:space="preserve"> </w:t>
      </w:r>
    </w:p>
    <w:p>
      <w:pPr>
        <w:spacing w:after="120"/>
      </w:pPr>
      <w:r>
        <w:t xml:space="preserve"> </w:t>
      </w:r>
    </w:p>
    <w:p>
      <w:pPr>
        <w:spacing w:after="120"/>
      </w:pPr>
      <w:r>
        <w:t xml:space="preserve"> </w:t>
      </w:r>
    </w:p>
    <w:p>
      <w:pPr>
        <w:spacing w:after="120"/>
      </w:pPr>
      <w:r>
        <w:t xml:space="preserve"> </w:t>
      </w:r>
    </w:p>
    <w:p>
      <w:pPr>
        <w:pStyle w:val="Title"/>
        <w:spacing w:after="60"/>
      </w:pPr>
      <w:r>
        <w:t xml:space="preserve">Adaptive Snapshot Cleanup</w:t>
      </w:r>
    </w:p>
    <w:p>
      <w:pPr>
        <w:pStyle w:val="Subtitle"/>
      </w:pPr>
      <w:r>
        <w:t xml:space="preserve">Executive Summary</w:t>
      </w:r>
    </w:p>
    <w:p>
      <w:pPr>
        <w:pBdr>
          <w:bottom w:val="single" w:color="2E75B6" w:sz="18" w:space="6"/>
        </w:pBdr>
        <w:spacing w:after="3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none"/>
              <w:left w:val="none"/>
              <w:bottom w:val="none"/>
              <w:right w:val="none"/>
            </w:tcBorders>
            <w:tcMar>
              <w:top w:type="dxa" w:w="60"/>
              <w:left w:type="dxa" w:w="0"/>
              <w:bottom w:type="dxa" w:w="60"/>
              <w:right w:type="dxa" w:w="100"/>
            </w:tcMar>
          </w:tcPr>
          <w:p>
            <w:pPr>
              <w:spacing w:after="0"/>
            </w:pPr>
            <w:r>
              <w:rPr>
                <w:b/>
                <w:bCs/>
                <w:color w:val="595959"/>
                <w:sz w:val="20"/>
                <w:szCs w:val="20"/>
              </w:rPr>
              <w:t xml:space="preserve">Platform</w:t>
            </w:r>
          </w:p>
        </w:tc>
        <w:tc>
          <w:tcPr>
            <w:tcW w:type="dxa" w:w="6960"/>
            <w:tcBorders>
              <w:top w:val="none"/>
              <w:left w:val="none"/>
              <w:bottom w:val="none"/>
              <w:right w:val="none"/>
            </w:tcBorders>
            <w:tcMar>
              <w:top w:type="dxa" w:w="60"/>
              <w:left w:type="dxa" w:w="0"/>
              <w:bottom w:type="dxa" w:w="60"/>
              <w:right w:type="dxa" w:w="0"/>
            </w:tcMar>
          </w:tcPr>
          <w:p>
            <w:pPr>
              <w:spacing w:after="0"/>
            </w:pPr>
            <w:r>
              <w:rPr>
                <w:sz w:val="20"/>
                <w:szCs w:val="20"/>
              </w:rPr>
              <w:t xml:space="preserve">VMware Cloud Foundation 9.0.2 / Embedded vRealize Orchestrator 8.17.x</w:t>
            </w:r>
          </w:p>
        </w:tc>
      </w:tr>
      <w:tr>
        <w:tc>
          <w:tcPr>
            <w:tcW w:type="dxa" w:w="2400"/>
            <w:tcBorders>
              <w:top w:val="none"/>
              <w:left w:val="none"/>
              <w:bottom w:val="none"/>
              <w:right w:val="none"/>
            </w:tcBorders>
            <w:tcMar>
              <w:top w:type="dxa" w:w="60"/>
              <w:left w:type="dxa" w:w="0"/>
              <w:bottom w:type="dxa" w:w="60"/>
              <w:right w:type="dxa" w:w="100"/>
            </w:tcMar>
          </w:tcPr>
          <w:p>
            <w:pPr>
              <w:spacing w:after="0"/>
            </w:pPr>
            <w:r>
              <w:rPr>
                <w:b/>
                <w:bCs/>
                <w:color w:val="595959"/>
                <w:sz w:val="20"/>
                <w:szCs w:val="20"/>
              </w:rPr>
              <w:t xml:space="preserve">Document</w:t>
            </w:r>
          </w:p>
        </w:tc>
        <w:tc>
          <w:tcPr>
            <w:tcW w:type="dxa" w:w="6960"/>
            <w:tcBorders>
              <w:top w:val="none"/>
              <w:left w:val="none"/>
              <w:bottom w:val="none"/>
              <w:right w:val="none"/>
            </w:tcBorders>
            <w:tcMar>
              <w:top w:type="dxa" w:w="60"/>
              <w:left w:type="dxa" w:w="0"/>
              <w:bottom w:type="dxa" w:w="60"/>
              <w:right w:type="dxa" w:w="0"/>
            </w:tcMar>
          </w:tcPr>
          <w:p>
            <w:pPr>
              <w:spacing w:after="0"/>
            </w:pPr>
            <w:r>
              <w:rPr>
                <w:sz w:val="20"/>
                <w:szCs w:val="20"/>
              </w:rPr>
              <w:t xml:space="preserve">Executive Summary</w:t>
            </w:r>
          </w:p>
        </w:tc>
      </w:tr>
      <w:tr>
        <w:tc>
          <w:tcPr>
            <w:tcW w:type="dxa" w:w="2400"/>
            <w:tcBorders>
              <w:top w:val="none"/>
              <w:left w:val="none"/>
              <w:bottom w:val="none"/>
              <w:right w:val="none"/>
            </w:tcBorders>
            <w:tcMar>
              <w:top w:type="dxa" w:w="60"/>
              <w:left w:type="dxa" w:w="0"/>
              <w:bottom w:type="dxa" w:w="60"/>
              <w:right w:type="dxa" w:w="100"/>
            </w:tcMar>
          </w:tcPr>
          <w:p>
            <w:pPr>
              <w:spacing w:after="0"/>
            </w:pPr>
            <w:r>
              <w:rPr>
                <w:b/>
                <w:bCs/>
                <w:color w:val="595959"/>
                <w:sz w:val="20"/>
                <w:szCs w:val="20"/>
              </w:rPr>
              <w:t xml:space="preserve">Audience</w:t>
            </w:r>
          </w:p>
        </w:tc>
        <w:tc>
          <w:tcPr>
            <w:tcW w:type="dxa" w:w="6960"/>
            <w:tcBorders>
              <w:top w:val="none"/>
              <w:left w:val="none"/>
              <w:bottom w:val="none"/>
              <w:right w:val="none"/>
            </w:tcBorders>
            <w:tcMar>
              <w:top w:type="dxa" w:w="60"/>
              <w:left w:type="dxa" w:w="0"/>
              <w:bottom w:type="dxa" w:w="60"/>
              <w:right w:type="dxa" w:w="0"/>
            </w:tcMar>
          </w:tcPr>
          <w:p>
            <w:pPr>
              <w:spacing w:after="0"/>
            </w:pPr>
            <w:r>
              <w:rPr>
                <w:sz w:val="20"/>
                <w:szCs w:val="20"/>
              </w:rPr>
              <w:t xml:space="preserve">IT Leadership, Infrastructure Management</w:t>
            </w:r>
          </w:p>
        </w:tc>
      </w:tr>
      <w:tr>
        <w:tc>
          <w:tcPr>
            <w:tcW w:type="dxa" w:w="2400"/>
            <w:tcBorders>
              <w:top w:val="none"/>
              <w:left w:val="none"/>
              <w:bottom w:val="none"/>
              <w:right w:val="none"/>
            </w:tcBorders>
            <w:tcMar>
              <w:top w:type="dxa" w:w="60"/>
              <w:left w:type="dxa" w:w="0"/>
              <w:bottom w:type="dxa" w:w="60"/>
              <w:right w:type="dxa" w:w="100"/>
            </w:tcMar>
          </w:tcPr>
          <w:p>
            <w:pPr>
              <w:spacing w:after="0"/>
            </w:pPr>
            <w:r>
              <w:rPr>
                <w:b/>
                <w:bCs/>
                <w:color w:val="595959"/>
                <w:sz w:val="20"/>
                <w:szCs w:val="20"/>
              </w:rPr>
              <w:t xml:space="preserve">Status</w:t>
            </w:r>
          </w:p>
        </w:tc>
        <w:tc>
          <w:tcPr>
            <w:tcW w:type="dxa" w:w="6960"/>
            <w:tcBorders>
              <w:top w:val="none"/>
              <w:left w:val="none"/>
              <w:bottom w:val="none"/>
              <w:right w:val="none"/>
            </w:tcBorders>
            <w:tcMar>
              <w:top w:type="dxa" w:w="60"/>
              <w:left w:type="dxa" w:w="0"/>
              <w:bottom w:type="dxa" w:w="60"/>
              <w:right w:type="dxa" w:w="0"/>
            </w:tcMar>
          </w:tcPr>
          <w:p>
            <w:pPr>
              <w:spacing w:after="0"/>
            </w:pPr>
            <w:r>
              <w:rPr>
                <w:sz w:val="20"/>
                <w:szCs w:val="20"/>
              </w:rPr>
              <w:t xml:space="preserve">Release Candidate</w:t>
            </w:r>
          </w:p>
        </w:tc>
      </w:tr>
      <w:tr>
        <w:tc>
          <w:tcPr>
            <w:tcW w:type="dxa" w:w="2400"/>
            <w:tcBorders>
              <w:top w:val="none"/>
              <w:left w:val="none"/>
              <w:bottom w:val="none"/>
              <w:right w:val="none"/>
            </w:tcBorders>
            <w:tcMar>
              <w:top w:type="dxa" w:w="60"/>
              <w:left w:type="dxa" w:w="0"/>
              <w:bottom w:type="dxa" w:w="60"/>
              <w:right w:type="dxa" w:w="100"/>
            </w:tcMar>
          </w:tcPr>
          <w:p>
            <w:pPr>
              <w:spacing w:after="0"/>
            </w:pPr>
            <w:r>
              <w:rPr>
                <w:b/>
                <w:bCs/>
                <w:color w:val="595959"/>
                <w:sz w:val="20"/>
                <w:szCs w:val="20"/>
              </w:rPr>
              <w:t xml:space="preserve">Version</w:t>
            </w:r>
          </w:p>
        </w:tc>
        <w:tc>
          <w:tcPr>
            <w:tcW w:type="dxa" w:w="6960"/>
            <w:tcBorders>
              <w:top w:val="none"/>
              <w:left w:val="none"/>
              <w:bottom w:val="none"/>
              <w:right w:val="none"/>
            </w:tcBorders>
            <w:tcMar>
              <w:top w:type="dxa" w:w="60"/>
              <w:left w:type="dxa" w:w="0"/>
              <w:bottom w:type="dxa" w:w="60"/>
              <w:right w:type="dxa" w:w="0"/>
            </w:tcMar>
          </w:tcPr>
          <w:p>
            <w:pPr>
              <w:spacing w:after="0"/>
            </w:pPr>
            <w:r>
              <w:rPr>
                <w:sz w:val="20"/>
                <w:szCs w:val="20"/>
              </w:rPr>
              <w:t xml:space="preserve">1.0</w:t>
            </w:r>
          </w:p>
        </w:tc>
      </w:tr>
    </w:tbl>
    <w:p>
      <w:r>
        <w:br w:type="page"/>
      </w:r>
    </w:p>
    <w:p>
      <w:pPr>
        <w:pStyle w:val="Heading1"/>
      </w:pPr>
      <w:r>
        <w:t xml:space="preserve">1. Overview</w:t>
      </w:r>
    </w:p>
    <w:p>
      <w:pPr>
        <w:spacing w:after="120"/>
      </w:pPr>
      <w:r>
        <w:t xml:space="preserve">Adaptive Snapshot Cleanup is a scheduled vRealize Orchestrator workflow that automatically removes aged virtual machine snapshots across every vCenter registered in the environment. Unlike a simple cron-style cleanup, the workflow continuously samples live storage performance and throttles its own activity in response, so it never causes the latency spikes that operators traditionally fear when consolidating large or stale snapshot chains during business hours.</w:t>
      </w:r>
    </w:p>
    <w:p>
      <w:pPr>
        <w:spacing w:after="120"/>
      </w:pPr>
      <w:r>
        <w:t xml:space="preserve">The solution was built to address three persistent problems: snapshot sprawl that consumes datastore capacity, the operational risk of bulk cleanup affecting production I/O, and the lack of an audit trail for who deleted what and when.</w:t>
      </w:r>
    </w:p>
    <w:p>
      <w:pPr>
        <w:pStyle w:val="Heading1"/>
      </w:pPr>
      <w:r>
        <w:t xml:space="preserve">2. Business Value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pPr>
              <w:spacing w:after="0"/>
            </w:pPr>
            <w:r>
              <w:rPr>
                <w:b/>
                <w:bCs/>
                <w:color w:val="FFFFFF"/>
                <w:sz w:val="22"/>
                <w:szCs w:val="22"/>
              </w:rPr>
              <w:t xml:space="preserve">Outcome</w:t>
            </w:r>
          </w:p>
        </w:tc>
        <w:tc>
          <w:tcPr>
            <w:tcW w:type="dxa" w:w="696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pPr>
              <w:spacing w:after="0"/>
            </w:pPr>
            <w:r>
              <w:rPr>
                <w:b/>
                <w:bCs/>
                <w:color w:val="FFFFFF"/>
                <w:sz w:val="22"/>
                <w:szCs w:val="22"/>
              </w:rPr>
              <w:t xml:space="preserve">What it means in practice</w:t>
            </w:r>
          </w:p>
        </w:tc>
      </w:tr>
      <w:tr>
        <w:tc>
          <w:tcPr>
            <w:tcW w:type="dxa" w:w="24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Reclaimed storage capacity</w:t>
            </w:r>
          </w:p>
        </w:tc>
        <w:tc>
          <w:tcPr>
            <w:tcW w:type="dxa" w:w="696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Stale snapshots are removed continuously instead of building up between manual cleanup events, freeing datastore space and deferring storage purchases.</w:t>
            </w:r>
          </w:p>
        </w:tc>
      </w:tr>
      <w:tr>
        <w:tc>
          <w:tcPr>
            <w:tcW w:type="dxa" w:w="2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Lower change-window pressure</w:t>
            </w:r>
          </w:p>
        </w:tc>
        <w:tc>
          <w:tcPr>
            <w:tcW w:type="dxa" w:w="696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Cleanup runs safely during business hours, so storage maintenance no longer competes for weekend or after-hours windows.</w:t>
            </w:r>
          </w:p>
        </w:tc>
      </w:tr>
      <w:tr>
        <w:tc>
          <w:tcPr>
            <w:tcW w:type="dxa" w:w="24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Reduced operational risk</w:t>
            </w:r>
          </w:p>
        </w:tc>
        <w:tc>
          <w:tcPr>
            <w:tcW w:type="dxa" w:w="696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The adaptive I/O governor prevents the workflow itself from causing the very latency events it is trying to avoid. Workloads continue to run normally during cleanup.</w:t>
            </w:r>
          </w:p>
        </w:tc>
      </w:tr>
      <w:tr>
        <w:tc>
          <w:tcPr>
            <w:tcW w:type="dxa" w:w="2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Audit-ready evidence</w:t>
            </w:r>
          </w:p>
        </w:tc>
        <w:tc>
          <w:tcPr>
            <w:tcW w:type="dxa" w:w="696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Every action — deleted, skipped, deferred, or failed — is logged with run ID, vCenter, VM, snapshot name, and reason. Logs flow into VMware Aria Operations for Logs.</w:t>
            </w:r>
          </w:p>
        </w:tc>
      </w:tr>
      <w:tr>
        <w:tc>
          <w:tcPr>
            <w:tcW w:type="dxa" w:w="24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Safe by default</w:t>
            </w:r>
          </w:p>
        </w:tc>
        <w:tc>
          <w:tcPr>
            <w:tcW w:type="dxa" w:w="696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The workflow runs in dry-run mode unless explicitly switched to live. Operators see exactly what would be deleted before any deletion occurs.</w:t>
            </w:r>
          </w:p>
        </w:tc>
      </w:tr>
      <w:tr>
        <w:tc>
          <w:tcPr>
            <w:tcW w:type="dxa" w:w="2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No new infrastructure</w:t>
            </w:r>
          </w:p>
        </w:tc>
        <w:tc>
          <w:tcPr>
            <w:tcW w:type="dxa" w:w="696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Runs on the embedded vRO instance that ships with VCF 9. No additional appliances, agents, network shares, or credentials required.</w:t>
            </w:r>
          </w:p>
        </w:tc>
      </w:tr>
    </w:tbl>
    <w:p>
      <w:pPr>
        <w:spacing w:after="120"/>
      </w:pPr>
      <w:r>
        <w:t xml:space="preserve"> </w:t>
      </w:r>
    </w:p>
    <w:p>
      <w:pPr>
        <w:pStyle w:val="Heading1"/>
      </w:pPr>
      <w:r>
        <w:t xml:space="preserve">3. How It Works (At a Glance)</w:t>
      </w:r>
    </w:p>
    <w:p>
      <w:pPr>
        <w:spacing w:after="120"/>
      </w:pPr>
      <w:r>
        <w:t xml:space="preserve">On its scheduled interval the workflow executes a nine-stage pipeline. Each stage has a single responsibility, and each stage logs its outcome with a consistent marker so the entire run can be filtered to a single line of search in Aria Operations for Logs.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pPr>
              <w:spacing w:after="0"/>
            </w:pPr>
            <w:r>
              <w:rPr>
                <w:b/>
                <w:bCs/>
                <w:color w:val="FFFFFF"/>
                <w:sz w:val="22"/>
                <w:szCs w:val="22"/>
              </w:rPr>
              <w:t xml:space="preserve">Stage</w:t>
            </w:r>
          </w:p>
        </w:tc>
        <w:tc>
          <w:tcPr>
            <w:tcW w:type="dxa" w:w="796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pPr>
              <w:spacing w:after="0"/>
            </w:pPr>
            <w:r>
              <w:rPr>
                <w:b/>
                <w:bCs/>
                <w:color w:val="FFFFFF"/>
                <w:sz w:val="22"/>
                <w:szCs w:val="22"/>
              </w:rPr>
              <w:t xml:space="preserve">What happens</w:t>
            </w:r>
          </w:p>
        </w:tc>
      </w:tr>
      <w:tr>
        <w:tc>
          <w:tcPr>
            <w:tcW w:type="dxa" w:w="14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Lock</w:t>
            </w:r>
          </w:p>
        </w:tc>
        <w:tc>
          <w:tcPr>
            <w:tcW w:type="dxa" w:w="796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Acquire a distributed mutex so two scheduled runs cannot collide.</w:t>
            </w:r>
          </w:p>
        </w:tc>
      </w:tr>
      <w:tr>
        <w:tc>
          <w:tcPr>
            <w:tcW w:type="dxa" w:w="1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Inventory</w:t>
            </w:r>
          </w:p>
        </w:tc>
        <w:tc>
          <w:tcPr>
            <w:tcW w:type="dxa" w:w="796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Connect to every registered vCenter and list snapshots that match the age, name, and description filters.</w:t>
            </w:r>
          </w:p>
        </w:tc>
      </w:tr>
      <w:tr>
        <w:tc>
          <w:tcPr>
            <w:tcW w:type="dxa" w:w="14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Plan</w:t>
            </w:r>
          </w:p>
        </w:tc>
        <w:tc>
          <w:tcPr>
            <w:tcW w:type="dxa" w:w="796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Order each VM’s snapshot chain newest-first and split into two execution lanes: throttled (powered-on VMs) and fast (powered-off VMs).</w:t>
            </w:r>
          </w:p>
        </w:tc>
      </w:tr>
      <w:tr>
        <w:tc>
          <w:tcPr>
            <w:tcW w:type="dxa" w:w="1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Govern</w:t>
            </w:r>
          </w:p>
        </w:tc>
        <w:tc>
          <w:tcPr>
            <w:tcW w:type="dxa" w:w="796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Before each deletion, sample storage latency and vSAN congestion. If projected impact would breach the threshold, hold the task until conditions settle.</w:t>
            </w:r>
          </w:p>
        </w:tc>
      </w:tr>
      <w:tr>
        <w:tc>
          <w:tcPr>
            <w:tcW w:type="dxa" w:w="14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Delete</w:t>
            </w:r>
          </w:p>
        </w:tc>
        <w:tc>
          <w:tcPr>
            <w:tcW w:type="dxa" w:w="796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Submit each removal to vCenter, wait for completion, capture pre/post metrics so the governor learns the real impact of consolidation on this environment.</w:t>
            </w:r>
          </w:p>
        </w:tc>
      </w:tr>
      <w:tr>
        <w:tc>
          <w:tcPr>
            <w:tcW w:type="dxa" w:w="1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Finalise</w:t>
            </w:r>
          </w:p>
        </w:tc>
        <w:tc>
          <w:tcPr>
            <w:tcW w:type="dxa" w:w="796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Release the lock, write a single human-readable result block summarising the run.</w:t>
            </w:r>
          </w:p>
        </w:tc>
      </w:tr>
    </w:tbl>
    <w:p>
      <w:pPr>
        <w:spacing w:after="120"/>
      </w:pPr>
      <w: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
        <w:gridCol w:w="9240"/>
      </w:tblGrid>
      <w:tr>
        <w:tc>
          <w:tcPr>
            <w:tcW w:type="dxa" w:w="120"/>
            <w:tcBorders>
              <w:top w:val="none"/>
              <w:left w:val="none"/>
              <w:bottom w:val="none"/>
              <w:right w:val="none"/>
            </w:tcBorders>
            <w:shd w:fill="2E75B6" w:val="clear"/>
            <w:tcMar>
              <w:top w:type="dxa" w:w="0"/>
              <w:left w:type="dxa" w:w="0"/>
              <w:bottom w:type="dxa" w:w="0"/>
              <w:right w:type="dxa" w:w="0"/>
            </w:tcMar>
          </w:tcPr>
          <w:p>
            <w:pPr>
              <w:spacing w:after="0"/>
            </w:pPr>
            <w:r>
              <w:t xml:space="preserve"> </w:t>
            </w:r>
          </w:p>
        </w:tc>
        <w:tc>
          <w:tcPr>
            <w:tcW w:type="dxa" w:w="9240"/>
            <w:tcBorders>
              <w:top w:val="none"/>
              <w:left w:val="none"/>
              <w:bottom w:val="none"/>
              <w:right w:val="none"/>
            </w:tcBorders>
            <w:shd w:fill="D5E8F0" w:val="clear"/>
            <w:tcMar>
              <w:top w:type="dxa" w:w="140"/>
              <w:left w:type="dxa" w:w="200"/>
              <w:bottom w:type="dxa" w:w="140"/>
              <w:right w:type="dxa" w:w="200"/>
            </w:tcMar>
          </w:tcPr>
          <w:p>
            <w:pPr>
              <w:spacing w:after="60"/>
            </w:pPr>
            <w:r>
              <w:rPr>
                <w:b/>
                <w:bCs/>
                <w:color w:val="1F1F1F"/>
                <w:sz w:val="22"/>
                <w:szCs w:val="22"/>
              </w:rPr>
              <w:t xml:space="preserve">Default Mode is Dry Run</w:t>
            </w:r>
          </w:p>
          <w:p>
            <w:pPr>
              <w:spacing w:after="0"/>
            </w:pPr>
            <w:r>
              <w:rPr>
                <w:sz w:val="22"/>
                <w:szCs w:val="22"/>
              </w:rPr>
              <w:t xml:space="preserve">Out of the box the workflow does not delete anything. It simulates the run, logs every snapshot it would have removed, and exits cleanly. Live mode is a single input flag that operators set deliberately, with full audit trail.</w:t>
            </w:r>
          </w:p>
        </w:tc>
      </w:tr>
    </w:tbl>
    <w:p>
      <w:pPr>
        <w:pStyle w:val="Heading1"/>
      </w:pPr>
      <w:r>
        <w:t xml:space="preserve">4. Operating Model</w:t>
      </w:r>
    </w:p>
    <w:p>
      <w:pPr>
        <w:spacing w:after="120"/>
      </w:pPr>
      <w:r>
        <w:t xml:space="preserve">The workflow is owned by the Infrastructure Operations team and runs on the embedded vRealize Orchestrator instance inside VCF. There are three operating roles: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pPr>
              <w:spacing w:after="0"/>
            </w:pPr>
            <w:r>
              <w:rPr>
                <w:b/>
                <w:bCs/>
                <w:color w:val="FFFFFF"/>
                <w:sz w:val="22"/>
                <w:szCs w:val="22"/>
              </w:rPr>
              <w:t xml:space="preserve">Role</w:t>
            </w:r>
          </w:p>
        </w:tc>
        <w:tc>
          <w:tcPr>
            <w:tcW w:type="dxa" w:w="696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pPr>
              <w:spacing w:after="0"/>
            </w:pPr>
            <w:r>
              <w:rPr>
                <w:b/>
                <w:bCs/>
                <w:color w:val="FFFFFF"/>
                <w:sz w:val="22"/>
                <w:szCs w:val="22"/>
              </w:rPr>
              <w:t xml:space="preserve">Responsibility</w:t>
            </w:r>
          </w:p>
        </w:tc>
      </w:tr>
      <w:tr>
        <w:tc>
          <w:tcPr>
            <w:tcW w:type="dxa" w:w="24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Workflow Owner</w:t>
            </w:r>
          </w:p>
        </w:tc>
        <w:tc>
          <w:tcPr>
            <w:tcW w:type="dxa" w:w="696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vRO administrator. Maintains the workflow, manages the schedule, reviews defaults, and approves changes to thresholds.</w:t>
            </w:r>
          </w:p>
        </w:tc>
      </w:tr>
      <w:tr>
        <w:tc>
          <w:tcPr>
            <w:tcW w:type="dxa" w:w="2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Operator</w:t>
            </w:r>
          </w:p>
        </w:tc>
        <w:tc>
          <w:tcPr>
            <w:tcW w:type="dxa" w:w="696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Day-to-day monitoring. Reviews the daily run summary in Aria Operations for Logs, investigates deferred or failed items, clears the runtime lock if a run is interrupted abnormally.</w:t>
            </w:r>
          </w:p>
        </w:tc>
      </w:tr>
      <w:tr>
        <w:tc>
          <w:tcPr>
            <w:tcW w:type="dxa" w:w="24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Service Owner (per VM)</w:t>
            </w:r>
          </w:p>
        </w:tc>
        <w:tc>
          <w:tcPr>
            <w:tcW w:type="dxa" w:w="696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Optional. Application teams can opt their VMs out of cleanup by including the configured ignore-string in any snapshot description.</w:t>
            </w:r>
          </w:p>
        </w:tc>
      </w:tr>
    </w:tbl>
    <w:p>
      <w:pPr>
        <w:spacing w:after="120"/>
      </w:pPr>
      <w:r>
        <w:t xml:space="preserve"> </w:t>
      </w:r>
    </w:p>
    <w:p>
      <w:pPr>
        <w:pStyle w:val="Heading1"/>
      </w:pPr>
      <w:r>
        <w:t xml:space="preserve">5. Risk Position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800"/>
        <w:gridCol w:w="2160"/>
      </w:tblGrid>
      <w:tr>
        <w:trPr>
          <w:tblHeader/>
        </w:trPr>
        <w:tc>
          <w:tcPr>
            <w:tcW w:type="dxa" w:w="24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pPr>
              <w:spacing w:after="0"/>
            </w:pPr>
            <w:r>
              <w:rPr>
                <w:b/>
                <w:bCs/>
                <w:color w:val="FFFFFF"/>
                <w:sz w:val="22"/>
                <w:szCs w:val="22"/>
              </w:rPr>
              <w:t xml:space="preserve">Risk</w:t>
            </w:r>
          </w:p>
        </w:tc>
        <w:tc>
          <w:tcPr>
            <w:tcW w:type="dxa" w:w="48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pPr>
              <w:spacing w:after="0"/>
            </w:pPr>
            <w:r>
              <w:rPr>
                <w:b/>
                <w:bCs/>
                <w:color w:val="FFFFFF"/>
                <w:sz w:val="22"/>
                <w:szCs w:val="22"/>
              </w:rPr>
              <w:t xml:space="preserve">How the design mitigates it</w:t>
            </w:r>
          </w:p>
        </w:tc>
        <w:tc>
          <w:tcPr>
            <w:tcW w:type="dxa" w:w="216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pPr>
              <w:spacing w:after="0"/>
            </w:pPr>
            <w:r>
              <w:rPr>
                <w:b/>
                <w:bCs/>
                <w:color w:val="FFFFFF"/>
                <w:sz w:val="22"/>
                <w:szCs w:val="22"/>
              </w:rPr>
              <w:t xml:space="preserve">Residual</w:t>
            </w:r>
          </w:p>
        </w:tc>
      </w:tr>
      <w:tr>
        <w:tc>
          <w:tcPr>
            <w:tcW w:type="dxa" w:w="24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Cleanup degrades production I/O</w:t>
            </w:r>
          </w:p>
        </w:tc>
        <w:tc>
          <w:tcPr>
            <w:tcW w:type="dxa" w:w="48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Adaptive governor samples live latency before each task and holds when projected impact would breach a configurable ceiling. Per-vCenter concurrency cap.</w:t>
            </w:r>
          </w:p>
        </w:tc>
        <w:tc>
          <w:tcPr>
            <w:tcW w:type="dxa" w:w="216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Low</w:t>
            </w:r>
          </w:p>
        </w:tc>
      </w:tr>
      <w:tr>
        <w:tc>
          <w:tcPr>
            <w:tcW w:type="dxa" w:w="2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Two runs collide and corrupt state</w:t>
            </w:r>
          </w:p>
        </w:tc>
        <w:tc>
          <w:tcPr>
            <w:tcW w:type="dxa" w:w="48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Distributed mutex backed by a configuration element. Second run aborts immediately if a lock is already held.</w:t>
            </w:r>
          </w:p>
        </w:tc>
        <w:tc>
          <w:tcPr>
            <w:tcW w:type="dxa" w:w="216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Low</w:t>
            </w:r>
          </w:p>
        </w:tc>
      </w:tr>
      <w:tr>
        <w:tc>
          <w:tcPr>
            <w:tcW w:type="dxa" w:w="24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Snapshot needed by a backup or restore is removed</w:t>
            </w:r>
          </w:p>
        </w:tc>
        <w:tc>
          <w:tcPr>
            <w:tcW w:type="dxa" w:w="48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Description-ignore filter; safety check skips any VM with an active backup, clone, snapshot, or migration task. Templates are never modified.</w:t>
            </w:r>
          </w:p>
        </w:tc>
        <w:tc>
          <w:tcPr>
            <w:tcW w:type="dxa" w:w="216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Low</w:t>
            </w:r>
          </w:p>
        </w:tc>
      </w:tr>
      <w:tr>
        <w:tc>
          <w:tcPr>
            <w:tcW w:type="dxa" w:w="2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Workflow exits abnormally and blocks future runs</w:t>
            </w:r>
          </w:p>
        </w:tc>
        <w:tc>
          <w:tcPr>
            <w:tcW w:type="dxa" w:w="48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Exception handler releases the lock on any non-fatal exit. Documented manual recovery procedure for the rare case where the lock is left set.</w:t>
            </w:r>
          </w:p>
        </w:tc>
        <w:tc>
          <w:tcPr>
            <w:tcW w:type="dxa" w:w="216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Medium</w:t>
            </w:r>
          </w:p>
        </w:tc>
      </w:tr>
      <w:tr>
        <w:tc>
          <w:tcPr>
            <w:tcW w:type="dxa" w:w="24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A vCenter is unreachable</w:t>
            </w:r>
          </w:p>
        </w:tc>
        <w:tc>
          <w:tcPr>
            <w:tcW w:type="dxa" w:w="48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Per-vCenter errors are isolated. Other vCenters continue to be processed. The unreachable vCenter is logged and retried on the next run.</w:t>
            </w:r>
          </w:p>
        </w:tc>
        <w:tc>
          <w:tcPr>
            <w:tcW w:type="dxa" w:w="216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Low</w:t>
            </w:r>
          </w:p>
        </w:tc>
      </w:tr>
    </w:tbl>
    <w:p>
      <w:pPr>
        <w:spacing w:after="120"/>
      </w:pPr>
      <w:r>
        <w:t xml:space="preserve"> </w:t>
      </w:r>
    </w:p>
    <w:p>
      <w:pPr>
        <w:pStyle w:val="Heading1"/>
      </w:pPr>
      <w:r>
        <w:t xml:space="preserve">6. Reporting</w:t>
      </w:r>
    </w:p>
    <w:p>
      <w:pPr>
        <w:spacing w:after="120"/>
      </w:pPr>
      <w:r>
        <w:t xml:space="preserve">Each run emits a structured summary that is queryable in Aria Operations for Logs by the marker </w:t>
      </w:r>
      <w:r>
        <w:rPr>
          <w:rFonts w:ascii="Consolas" w:cs="Consolas" w:eastAsia="Consolas" w:hAnsi="Consolas"/>
          <w:sz w:val="20"/>
          <w:szCs w:val="20"/>
        </w:rPr>
        <w:t xml:space="preserve">[SNAPSHOT-CLEANUP]</w:t>
      </w:r>
      <w:r>
        <w:t xml:space="preserve">. The summary contains:</w:t>
      </w:r>
    </w:p>
    <w:p>
      <w:pPr>
        <w:pStyle w:val="ListParagraph"/>
        <w:numPr>
          <w:ilvl w:val="0"/>
          <w:numId w:val="2"/>
        </w:numPr>
        <w:spacing w:after="80"/>
      </w:pPr>
      <w:r>
        <w:t xml:space="preserve">Run ID and outcome (Success, Dry Run Complete, Completed With Deferrals, Completed With Errors)</w:t>
      </w:r>
    </w:p>
    <w:p>
      <w:pPr>
        <w:pStyle w:val="ListParagraph"/>
        <w:numPr>
          <w:ilvl w:val="0"/>
          <w:numId w:val="2"/>
        </w:numPr>
        <w:spacing w:after="80"/>
      </w:pPr>
      <w:r>
        <w:t xml:space="preserve">Counts of snapshots deleted, dry-run, skipped, deferred, and failed</w:t>
      </w:r>
    </w:p>
    <w:p>
      <w:pPr>
        <w:pStyle w:val="ListParagraph"/>
        <w:numPr>
          <w:ilvl w:val="0"/>
          <w:numId w:val="2"/>
        </w:numPr>
        <w:spacing w:after="80"/>
      </w:pPr>
      <w:r>
        <w:t xml:space="preserve">Filters that were active for the run (age, name, description)</w:t>
      </w:r>
    </w:p>
    <w:p>
      <w:pPr>
        <w:pStyle w:val="ListParagraph"/>
        <w:numPr>
          <w:ilvl w:val="0"/>
          <w:numId w:val="2"/>
        </w:numPr>
        <w:spacing w:after="80"/>
      </w:pPr>
      <w:r>
        <w:t xml:space="preserve">List of vCenters processed and number of datastores evaluated</w:t>
      </w:r>
    </w:p>
    <w:p>
      <w:pPr>
        <w:pStyle w:val="ListParagraph"/>
        <w:numPr>
          <w:ilvl w:val="0"/>
          <w:numId w:val="2"/>
        </w:numPr>
        <w:spacing w:after="80"/>
      </w:pPr>
      <w:r>
        <w:t xml:space="preserve">Whether the lock was released cleanly</w:t>
      </w:r>
    </w:p>
    <w:p>
      <w:pPr>
        <w:spacing w:after="120"/>
      </w:pPr>
      <w:r>
        <w:t xml:space="preserve"> </w:t>
      </w:r>
    </w:p>
    <w:p>
      <w:pPr>
        <w:spacing w:after="120"/>
      </w:pPr>
      <w:r>
        <w:t xml:space="preserve">This output is suitable for a daily ops dashboard or a weekly capacity report. No separate database or reporting infrastructure is needed.</w:t>
      </w:r>
    </w:p>
    <w:p>
      <w:pPr>
        <w:pStyle w:val="Heading1"/>
      </w:pPr>
      <w:r>
        <w:t xml:space="preserve">7. Recommended Next Steps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7000"/>
        <w:gridCol w:w="1560"/>
      </w:tblGrid>
      <w:tr>
        <w:trPr>
          <w:tblHeader/>
        </w:trPr>
        <w:tc>
          <w:tcPr>
            <w:tcW w:type="dxa" w:w="8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pPr>
              <w:spacing w:after="0"/>
            </w:pPr>
            <w:r>
              <w:rPr>
                <w:b/>
                <w:bCs/>
                <w:color w:val="FFFFFF"/>
                <w:sz w:val="22"/>
                <w:szCs w:val="22"/>
              </w:rPr>
              <w:t xml:space="preserve">#</w:t>
            </w:r>
          </w:p>
        </w:tc>
        <w:tc>
          <w:tcPr>
            <w:tcW w:type="dxa" w:w="70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pPr>
              <w:spacing w:after="0"/>
            </w:pPr>
            <w:r>
              <w:rPr>
                <w:b/>
                <w:bCs/>
                <w:color w:val="FFFFFF"/>
                <w:sz w:val="22"/>
                <w:szCs w:val="22"/>
              </w:rPr>
              <w:t xml:space="preserve">Action</w:t>
            </w:r>
          </w:p>
        </w:tc>
        <w:tc>
          <w:tcPr>
            <w:tcW w:type="dxa" w:w="156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pPr>
              <w:spacing w:after="0"/>
            </w:pPr>
            <w:r>
              <w:rPr>
                <w:b/>
                <w:bCs/>
                <w:color w:val="FFFFFF"/>
                <w:sz w:val="22"/>
                <w:szCs w:val="22"/>
              </w:rPr>
              <w:t xml:space="preserve">Owner</w:t>
            </w:r>
          </w:p>
        </w:tc>
      </w:tr>
      <w:tr>
        <w:tc>
          <w:tcPr>
            <w:tcW w:type="dxa" w:w="8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1</w:t>
            </w:r>
          </w:p>
        </w:tc>
        <w:tc>
          <w:tcPr>
            <w:tcW w:type="dxa" w:w="70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Approve deployment to a non-production vCenter for a two-week observation period in dry-run mode.</w:t>
            </w:r>
          </w:p>
        </w:tc>
        <w:tc>
          <w:tcPr>
            <w:tcW w:type="dxa" w:w="156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IT Leadership</w:t>
            </w:r>
          </w:p>
        </w:tc>
      </w:tr>
      <w:tr>
        <w:tc>
          <w:tcPr>
            <w:tcW w:type="dxa" w:w="8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2</w:t>
            </w:r>
          </w:p>
        </w:tc>
        <w:tc>
          <w:tcPr>
            <w:tcW w:type="dxa" w:w="7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Review the proposed default thresholds (snapshot age, latency ceiling, parallelism) with storage and platform engineering.</w:t>
            </w:r>
          </w:p>
        </w:tc>
        <w:tc>
          <w:tcPr>
            <w:tcW w:type="dxa" w:w="156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Platform Eng.</w:t>
            </w:r>
          </w:p>
        </w:tc>
      </w:tr>
      <w:tr>
        <w:tc>
          <w:tcPr>
            <w:tcW w:type="dxa" w:w="8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3</w:t>
            </w:r>
          </w:p>
        </w:tc>
        <w:tc>
          <w:tcPr>
            <w:tcW w:type="dxa" w:w="70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Define the description-ignore string that backup tooling should embed in any snapshot it owns, and circulate to backup operations.</w:t>
            </w:r>
          </w:p>
        </w:tc>
        <w:tc>
          <w:tcPr>
            <w:tcW w:type="dxa" w:w="156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Backup Ops</w:t>
            </w:r>
          </w:p>
        </w:tc>
      </w:tr>
      <w:tr>
        <w:tc>
          <w:tcPr>
            <w:tcW w:type="dxa" w:w="8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4</w:t>
            </w:r>
          </w:p>
        </w:tc>
        <w:tc>
          <w:tcPr>
            <w:tcW w:type="dxa" w:w="7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Schedule a 30-day pilot in live mode on the chosen vCenter with daily review of the run summary.</w:t>
            </w:r>
          </w:p>
        </w:tc>
        <w:tc>
          <w:tcPr>
            <w:tcW w:type="dxa" w:w="156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Infra Ops</w:t>
            </w:r>
          </w:p>
        </w:tc>
      </w:tr>
      <w:tr>
        <w:tc>
          <w:tcPr>
            <w:tcW w:type="dxa" w:w="8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5</w:t>
            </w:r>
          </w:p>
        </w:tc>
        <w:tc>
          <w:tcPr>
            <w:tcW w:type="dxa" w:w="70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Roll out to all vCenters once pilot results are reviewed.</w:t>
            </w:r>
          </w:p>
        </w:tc>
        <w:tc>
          <w:tcPr>
            <w:tcW w:type="dxa" w:w="156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Infra Ops</w:t>
            </w:r>
          </w:p>
        </w:tc>
      </w:tr>
    </w:tbl>
    <w:p>
      <w:pPr>
        <w:spacing w:after="120"/>
      </w:pPr>
      <w:r>
        <w:t xml:space="preserve"> </w:t>
      </w:r>
    </w:p>
    <w:p>
      <w:pPr>
        <w:pStyle w:val="Heading1"/>
      </w:pPr>
      <w:r>
        <w:t xml:space="preserve">8.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pPr>
              <w:spacing w:after="0"/>
            </w:pPr>
            <w:r>
              <w:rPr>
                <w:b/>
                <w:bCs/>
                <w:color w:val="FFFFFF"/>
                <w:sz w:val="22"/>
                <w:szCs w:val="22"/>
              </w:rPr>
              <w:t xml:space="preserve">Term</w:t>
            </w:r>
          </w:p>
        </w:tc>
        <w:tc>
          <w:tcPr>
            <w:tcW w:type="dxa" w:w="696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pPr>
              <w:spacing w:after="0"/>
            </w:pPr>
            <w:r>
              <w:rPr>
                <w:b/>
                <w:bCs/>
                <w:color w:val="FFFFFF"/>
                <w:sz w:val="22"/>
                <w:szCs w:val="22"/>
              </w:rPr>
              <w:t xml:space="preserve">Plain-language meaning</w:t>
            </w:r>
          </w:p>
        </w:tc>
      </w:tr>
      <w:tr>
        <w:tc>
          <w:tcPr>
            <w:tcW w:type="dxa" w:w="24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VM Snapshot</w:t>
            </w:r>
          </w:p>
        </w:tc>
        <w:tc>
          <w:tcPr>
            <w:tcW w:type="dxa" w:w="696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A point-in-time copy of a virtual machine’s disk state. Snapshots are useful for short-term rollback but degrade performance and consume capacity if left in place.</w:t>
            </w:r>
          </w:p>
        </w:tc>
      </w:tr>
      <w:tr>
        <w:tc>
          <w:tcPr>
            <w:tcW w:type="dxa" w:w="2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Consolidation</w:t>
            </w:r>
          </w:p>
        </w:tc>
        <w:tc>
          <w:tcPr>
            <w:tcW w:type="dxa" w:w="696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The process of merging a snapshot back into the live disk. This is what “deleting a snapshot” actually does, and it generates storage I/O proportional to how much the disk has changed since the snapshot was taken.</w:t>
            </w:r>
          </w:p>
        </w:tc>
      </w:tr>
      <w:tr>
        <w:tc>
          <w:tcPr>
            <w:tcW w:type="dxa" w:w="24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Datastore</w:t>
            </w:r>
          </w:p>
        </w:tc>
        <w:tc>
          <w:tcPr>
            <w:tcW w:type="dxa" w:w="696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The storage container (VMFS, NFS, or vSAN) where VM disks live.</w:t>
            </w:r>
          </w:p>
        </w:tc>
      </w:tr>
      <w:tr>
        <w:tc>
          <w:tcPr>
            <w:tcW w:type="dxa" w:w="2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vCenter</w:t>
            </w:r>
          </w:p>
        </w:tc>
        <w:tc>
          <w:tcPr>
            <w:tcW w:type="dxa" w:w="696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VMware’s management plane for a group of ESXi hosts and the VMs running on them. Most environments have several.</w:t>
            </w:r>
          </w:p>
        </w:tc>
      </w:tr>
      <w:tr>
        <w:tc>
          <w:tcPr>
            <w:tcW w:type="dxa" w:w="24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vRealize Orchestrator (vRO)</w:t>
            </w:r>
          </w:p>
        </w:tc>
        <w:tc>
          <w:tcPr>
            <w:tcW w:type="dxa" w:w="696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VMware’s built-in workflow engine, included with VCF. Used here to schedule and execute the cleanup logic.</w:t>
            </w:r>
          </w:p>
        </w:tc>
      </w:tr>
      <w:tr>
        <w:tc>
          <w:tcPr>
            <w:tcW w:type="dxa" w:w="2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Aria Operations for Logs</w:t>
            </w:r>
          </w:p>
        </w:tc>
        <w:tc>
          <w:tcPr>
            <w:tcW w:type="dxa" w:w="696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VMware’s log aggregation product. Receives every log line emitted by the workflow.</w:t>
            </w:r>
          </w:p>
        </w:tc>
      </w:tr>
      <w:tr>
        <w:tc>
          <w:tcPr>
            <w:tcW w:type="dxa" w:w="24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Mutex</w:t>
            </w:r>
          </w:p>
        </w:tc>
        <w:tc>
          <w:tcPr>
            <w:tcW w:type="dxa" w:w="696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A simple lock mechanism. Used here to prevent two scheduled runs from executing at the same time.</w:t>
            </w:r>
          </w:p>
        </w:tc>
      </w:tr>
      <w:tr>
        <w:tc>
          <w:tcPr>
            <w:tcW w:type="dxa" w:w="2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Dry Run</w:t>
            </w:r>
          </w:p>
        </w:tc>
        <w:tc>
          <w:tcPr>
            <w:tcW w:type="dxa" w:w="696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A mode where the workflow performs every step except the actual deletion. Used to preview impact before going live.</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t xml:space="preserve">Page </w:t>
    </w:r>
    <w:r>
      <w:rPr>
        <w:color w:val="595959"/>
        <w:sz w:val="18"/>
        <w:szCs w:val="18"/>
      </w:rPr>
      <w:fldChar w:fldCharType="begin"/>
      <w:instrText xml:space="preserve">PAGE</w:instrText>
      <w:fldChar w:fldCharType="separate"/>
      <w:fldChar w:fldCharType="end"/>
    </w:r>
    <w:r>
      <w:rPr>
        <w:color w:val="595959"/>
        <w:sz w:val="18"/>
        <w:szCs w:val="18"/>
      </w:rPr>
      <w:t xml:space="preserve"> of </w:t>
    </w:r>
    <w:r>
      <w:rPr>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6" w:space="4"/>
      </w:pBdr>
      <w:tabs>
        <w:tab w:val="right" w:pos="9026"/>
      </w:tabs>
    </w:pPr>
    <w:r>
      <w:rPr>
        <w:color w:val="595959"/>
        <w:sz w:val="18"/>
        <w:szCs w:val="18"/>
      </w:rPr>
      <w:t xml:space="preserve">Executive Summary</w:t>
    </w:r>
    <w:r>
      <w:rPr>
        <w:i/>
        <w:iCs/>
        <w:color w:val="595959"/>
        <w:sz w:val="18"/>
        <w:szCs w:val="18"/>
      </w:rPr>
      <w:t xml:space="preserve">	Adaptive Snapshot Cleanup</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120" w:before="0"/>
    </w:pPr>
    <w:rPr>
      <w:rFonts w:ascii="Calibri" w:cs="Calibri" w:eastAsia="Calibri" w:hAnsi="Calibri"/>
      <w:b/>
      <w:bCs/>
      <w:color w:val="1F3864"/>
      <w:sz w:val="56"/>
      <w:szCs w:val="56"/>
    </w:rPr>
  </w:style>
  <w:style w:type="paragraph" w:styleId="Subtitle">
    <w:name w:val="Subtitle"/>
    <w:basedOn w:val="Normal"/>
    <w:next w:val="Normal"/>
    <w:pPr>
      <w:spacing w:after="480" w:before="0"/>
    </w:pPr>
    <w:rPr>
      <w:rFonts w:ascii="Calibri" w:cs="Calibri" w:eastAsia="Calibri" w:hAnsi="Calibri"/>
      <w:i/>
      <w:iCs/>
      <w:color w:val="595959"/>
      <w:sz w:val="28"/>
      <w:szCs w:val="28"/>
    </w:rPr>
  </w:style>
  <w:style w:type="paragraph" w:styleId="Heading1">
    <w:name w:val="Heading 1"/>
    <w:basedOn w:val="Normal"/>
    <w:next w:val="Normal"/>
    <w:qFormat/>
    <w:pPr>
      <w:pBdr>
        <w:bottom w:val="single" w:color="2E75B6" w:sz="8" w:space="4"/>
      </w:pBdr>
      <w:spacing w:after="180" w:before="360"/>
      <w:outlineLvl w:val="0"/>
    </w:pPr>
    <w:rPr>
      <w:rFonts w:ascii="Calibri" w:cs="Calibri" w:eastAsia="Calibri" w:hAnsi="Calibri"/>
      <w:b/>
      <w:bCs/>
      <w:color w:val="1F386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1F3864"/>
      <w:sz w:val="28"/>
      <w:szCs w:val="28"/>
    </w:rPr>
  </w:style>
  <w:style w:type="paragraph" w:styleId="Heading3">
    <w:name w:val="Heading 3"/>
    <w:basedOn w:val="Normal"/>
    <w:next w:val="Normal"/>
    <w:qFormat/>
    <w:pPr>
      <w:spacing w:after="80" w:before="220"/>
      <w:outlineLvl w:val="2"/>
    </w:pPr>
    <w:rPr>
      <w:rFonts w:ascii="Calibri" w:cs="Calibri" w:eastAsia="Calibri" w:hAnsi="Calibri"/>
      <w:b/>
      <w:bCs/>
      <w:color w:val="2E75B6"/>
      <w:sz w:val="24"/>
      <w:szCs w:val="24"/>
    </w:rPr>
  </w:style>
  <w:style w:type="paragraph" w:styleId="Code">
    <w:name w:val="Code"/>
    <w:basedOn w:val="Normal"/>
    <w:next w:val="Normal"/>
    <w:pPr>
      <w:spacing w:after="80" w:before="80"/>
    </w:pPr>
    <w:rPr>
      <w:rFonts w:ascii="Consolas" w:cs="Consolas" w:eastAsia="Consolas" w:hAnsi="Consolas"/>
      <w:color w:val="1F1F1F"/>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Executive Summary</dc:title>
  <dc:creator>Adaptive Snapshot Cleanup</dc:creator>
  <cp:lastModifiedBy>Un-named</cp:lastModifiedBy>
  <cp:revision>1</cp:revision>
  <dcterms:created xsi:type="dcterms:W3CDTF">2026-04-22T15:33:22.351Z</dcterms:created>
  <dcterms:modified xsi:type="dcterms:W3CDTF">2026-04-22T15:33:22.352Z</dcterms:modified>
</cp:coreProperties>
</file>

<file path=docProps/custom.xml><?xml version="1.0" encoding="utf-8"?>
<Properties xmlns="http://schemas.openxmlformats.org/officeDocument/2006/custom-properties" xmlns:vt="http://schemas.openxmlformats.org/officeDocument/2006/docPropsVTypes"/>
</file>