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Eyebrow"/>
      </w:pPr>
      <w:r>
        <w:rPr/>
        <w:t xml:space="preserve">Windows Server Disk Cleans</w:t>
      </w:r>
    </w:p>
    <w:p>
      <w:pPr>
        <w:pStyle w:val="Title"/>
      </w:pPr>
      <w:r>
        <w:rPr/>
        <w:t xml:space="preserve">Executive Summary</w:t>
      </w:r>
    </w:p>
    <w:tbl>
      <w:tblPr>
        <w:tblStyle w:val="TableGrid"/>
        <w:tblW w:w="5000" w:type="pct"/>
        <w:tblBorders>
          <w:top w:val="single" w:sz="4" w:space="0" w:color="B2BDC7"/>
          <w:bottom w:val="single" w:sz="4" w:space="0" w:color="B2BDC7"/>
          <w:left w:val="none" w:sz="0" w:space="0" w:color="auto"/>
          <w:right w:val="none" w:sz="0" w:space="0" w:color="auto"/>
          <w:insideH w:val="single" w:sz="2" w:space="0" w:color="D4DAE1"/>
          <w:insideV w:val="none" w:sz="0" w:space="0" w:color="auto"/>
        </w:tblBorders>
        <w:tblCellMar>
          <w:top w:w="90" w:type="dxa"/>
          <w:left w:w="0" w:type="dxa"/>
          <w:bottom w:w="90" w:type="dxa"/>
          <w:right w:w="110" w:type="dxa"/>
        </w:tblCellMar>
      </w:tblPr>
      <w:tblGrid>
        <w:gridCol w:w="2620"/>
        <w:gridCol w:w="6740"/>
      </w:tblGrid>
      <w:tr>
        <w:trPr>
          <w:cantSplit/>
        </w:trPr>
        <w:tc>
          <w:tcPr>
            <w:tcW w:w="2621" w:type="dxa"/>
            <w:vAlign w:val="center"/>
          </w:tcPr>
          <w:p>
            <w:pPr>
              <w:pStyle w:val="TableCell"/>
            </w:pPr>
            <w:r>
              <w:rPr>
                <w:b/>
                <w:caps/>
                <w:sz w:val="15"/>
                <w:color w:val="5B6875"/>
              </w:rPr>
              <w:t xml:space="preserve">Document</w:t>
            </w:r>
          </w:p>
        </w:tc>
        <w:tc>
          <w:tcPr>
            <w:tcW w:w="6739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Executive Summary</w:t>
            </w:r>
          </w:p>
        </w:tc>
      </w:tr>
      <w:tr>
        <w:trPr>
          <w:cantSplit/>
        </w:trPr>
        <w:tc>
          <w:tcPr>
            <w:tcW w:w="2621" w:type="dxa"/>
            <w:vAlign w:val="center"/>
          </w:tcPr>
          <w:p>
            <w:pPr>
              <w:pStyle w:val="TableCell"/>
            </w:pPr>
            <w:r>
              <w:rPr>
                <w:b/>
                <w:caps/>
                <w:sz w:val="15"/>
                <w:color w:val="5B6875"/>
              </w:rPr>
              <w:t xml:space="preserve">Package</w:t>
            </w:r>
          </w:p>
        </w:tc>
        <w:tc>
          <w:tcPr>
            <w:tcW w:w="6739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Windows Server Disk Cleans</w:t>
            </w:r>
          </w:p>
        </w:tc>
      </w:tr>
      <w:tr>
        <w:trPr>
          <w:cantSplit/>
        </w:trPr>
        <w:tc>
          <w:tcPr>
            <w:tcW w:w="2621" w:type="dxa"/>
            <w:vAlign w:val="center"/>
          </w:tcPr>
          <w:p>
            <w:pPr>
              <w:pStyle w:val="TableCell"/>
            </w:pPr>
            <w:r>
              <w:rPr>
                <w:b/>
                <w:caps/>
                <w:sz w:val="15"/>
                <w:color w:val="5B6875"/>
              </w:rPr>
              <w:t xml:space="preserve">Platform</w:t>
            </w:r>
          </w:p>
        </w:tc>
        <w:tc>
          <w:tcPr>
            <w:tcW w:w="6739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VCF Operations Orchestrator 9</w:t>
            </w:r>
          </w:p>
        </w:tc>
      </w:tr>
      <w:tr>
        <w:trPr>
          <w:cantSplit/>
        </w:trPr>
        <w:tc>
          <w:tcPr>
            <w:tcW w:w="2621" w:type="dxa"/>
            <w:vAlign w:val="center"/>
          </w:tcPr>
          <w:p>
            <w:pPr>
              <w:pStyle w:val="TableCell"/>
            </w:pPr>
            <w:r>
              <w:rPr>
                <w:b/>
                <w:caps/>
                <w:sz w:val="15"/>
                <w:color w:val="5B6875"/>
              </w:rPr>
              <w:t xml:space="preserve">Source</w:t>
            </w:r>
          </w:p>
        </w:tc>
        <w:tc>
          <w:tcPr>
            <w:tcW w:w="6739" w:type="dxa"/>
            <w:vAlign w:val="center"/>
          </w:tcPr>
          <w:p>
            <w:pPr>
              <w:pStyle w:val="TableCell"/>
            </w:pP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01_Executive_Summary.md</w:t>
            </w:r>
          </w:p>
        </w:tc>
      </w:tr>
    </w:tbl>
    <w:p>
      <w:pPr>
        <w:spacing w:after="0"/>
      </w:pPr>
    </w:p>
    <w:tbl>
      <w:tblPr>
        <w:tblStyle w:val="TableGrid"/>
        <w:tblW w:w="5000" w:type="pct"/>
        <w:tblBorders>
          <w:top w:val="none" w:sz="0" w:space="0" w:color="auto"/>
          <w:bottom w:val="none" w:sz="0" w:space="0" w:color="auto"/>
          <w:left w:val="single" w:sz="18" w:space="0" w:color="1F5C8B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20" w:type="dxa"/>
          <w:left w:w="180" w:type="dxa"/>
          <w:bottom w:w="120" w:type="dxa"/>
          <w:right w:w="180" w:type="dxa"/>
        </w:tblCellMar>
      </w:tblPr>
      <w:tr>
        <w:trPr>
          <w:cantSplit/>
        </w:trPr>
        <w:tc>
          <w:tcPr>
            <w:shd w:val="clear" w:fill="EAF0F5"/>
          </w:tcPr>
          <w:p>
            <w:pPr>
              <w:spacing w:after="40"/>
            </w:pPr>
            <w:r>
              <w:rPr>
                <w:b/>
                <w:caps/>
                <w:color w:val="1F5C8B"/>
                <w:sz w:val="16"/>
              </w:rPr>
              <w:t xml:space="preserve">Generated file</w:t>
            </w:r>
          </w:p>
          <w:p>
            <w:pPr>
              <w:spacing w:after="0"/>
            </w:pPr>
            <w:r>
              <w:rPr/>
              <w:t xml:space="preserve">This document is generated from </w:t>
            </w:r>
            <w:r>
              <w:rPr>
                <w:b/>
              </w:rPr>
              <w:t xml:space="preserve">01_Executive_Summary.md</w:t>
            </w:r>
            <w:r>
              <w:rPr/>
              <w:t xml:space="preserve">. Edit the Markdown and rebuild - changes made here are lost the next time it is built.</w:t>
            </w:r>
          </w:p>
        </w:tc>
      </w:tr>
    </w:tbl>
    <w:p>
      <w:pPr>
        <w:spacing w:after="0"/>
      </w:pPr>
    </w:p>
    <w:p>
      <w:pPr>
        <w:pStyle w:val="Heading1"/>
      </w:pPr>
      <w:r>
        <w:rPr/>
        <w:t xml:space="preserve">Contents</w:t>
      </w:r>
    </w:p>
    <w:p>
      <w:r>
        <w:fldChar w:fldCharType="begin" w:dirty="true"/>
      </w:r>
      <w:r>
        <w:instrText xml:space="preserve"> TOC \o "1-2" \h \z \u </w:instrText>
      </w:r>
      <w:r>
        <w:fldChar w:fldCharType="separate"/>
      </w:r>
      <w:r>
        <w:rPr>
          <w:i/>
          <w:color w:val="5B6875"/>
        </w:rPr>
        <w:t xml:space="preserve">Right-click here and choose Update Field to build the contents.</w:t>
      </w:r>
      <w:r>
        <w:fldChar w:fldCharType="end"/>
      </w:r>
    </w:p>
    <w:p>
      <w:r>
        <w:br w:type="page"/>
      </w:r>
    </w:p>
    <w:p>
      <w:pPr>
        <w:pStyle w:val="Heading1"/>
      </w:pPr>
      <w:r>
        <w:rPr/>
        <w:t xml:space="preserve">Business objective</w:t>
      </w:r>
    </w:p>
    <w:p>
      <w:pPr>
        <w:pStyle w:val="BodyText"/>
      </w:pPr>
      <w:r>
        <w:rPr/>
        <w:t xml:space="preserve">Keep Windows servers from running out of disk space by regularly deleting aged, disposable files, chiefly the SCCM download cache (</w:t>
      </w:r>
      <w:r>
        <w:rPr>
          <w:rFonts w:ascii="Consolas" w:hAnsi="Consolas"/>
          <w:sz w:val="18"/>
          <w:shd w:val="clear" w:fill="EEF1F4"/>
        </w:rPr>
        <w:t xml:space="preserve">c:\Windows\ccmcache</w:t>
      </w:r>
      <w:r>
        <w:rPr/>
        <w:t xml:space="preserve">), and by clearing stale user profiles on the servers that need it. The Ansible playbook that does this today (</w:t>
      </w:r>
      <w:r>
        <w:rPr>
          <w:rFonts w:ascii="Consolas" w:hAnsi="Consolas"/>
          <w:sz w:val="18"/>
          <w:shd w:val="clear" w:fill="EEF1F4"/>
        </w:rPr>
        <w:t xml:space="preserve">servers_diskclean.yml</w:t>
      </w:r>
      <w:r>
        <w:rPr/>
        <w:t xml:space="preserve">) is being replaced by a VCF Operations Orchestrator workflow, </w:t>
      </w:r>
      <w:r>
        <w:rPr>
          <w:b/>
        </w:rPr>
        <w:t xml:space="preserve">Windows Server Disk Cleans</w:t>
      </w:r>
      <w:r>
        <w:rPr/>
        <w:t xml:space="preserve">, as part of the Ansible → Orchestrator transition.</w:t>
      </w:r>
    </w:p>
    <w:p>
      <w:pPr>
        <w:pStyle w:val="Heading1"/>
      </w:pPr>
      <w:r>
        <w:rPr/>
        <w:t xml:space="preserve">Scope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Targets:</w:t>
      </w:r>
      <w:r>
        <w:rPr/>
        <w:t xml:space="preserve"> the enabled computer accounts that are </w:t>
      </w:r>
      <w:r>
        <w:rPr>
          <w:b/>
        </w:rPr>
        <w:t xml:space="preserve">direct</w:t>
      </w:r>
      <w:r>
        <w:rPr/>
        <w:t xml:space="preserve"> members of an Active Directory security group. Physical servers and virtual machines are handled identically; nothing depends on vCenter.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What runs:</w:t>
      </w:r>
      <w:r>
        <w:rPr/>
        <w:t xml:space="preserve"> one PowerShell script, </w:t>
      </w:r>
      <w:r>
        <w:rPr>
          <w:rFonts w:ascii="Consolas" w:hAnsi="Consolas"/>
          <w:sz w:val="18"/>
          <w:shd w:val="clear" w:fill="EEF1F4"/>
        </w:rPr>
        <w:t xml:space="preserve">Invoke-ServerDiskClean.ps1</w:t>
      </w:r>
      <w:r>
        <w:rPr/>
        <w:t xml:space="preserve">, executed on a PowerShell host. The host reaches every target through its administrative share (</w:t>
      </w:r>
      <w:r>
        <w:rPr>
          <w:rFonts w:ascii="Consolas" w:hAnsi="Consolas"/>
          <w:sz w:val="18"/>
          <w:shd w:val="clear" w:fill="EEF1F4"/>
        </w:rPr>
        <w:t xml:space="preserve">\\server\c$</w:t>
      </w:r>
      <w:r>
        <w:rPr/>
        <w:t xml:space="preserve">).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Production use today:</w:t>
      </w:r>
      <w:r>
        <w:rPr/>
        <w:t xml:space="preserve"> eight Ansible templates. Six clean the SCCM cache (</w:t>
      </w:r>
      <w:r>
        <w:rPr>
          <w:rFonts w:ascii="Consolas" w:hAnsi="Consolas"/>
          <w:sz w:val="18"/>
          <w:shd w:val="clear" w:fill="EEF1F4"/>
        </w:rPr>
        <w:t xml:space="preserve">c:\Windows\ccmcache</w:t>
      </w:r>
      <w:r>
        <w:rPr/>
        <w:t xml:space="preserve">, older than 1 day). Two clear user profiles (</w:t>
      </w:r>
      <w:r>
        <w:rPr>
          <w:rFonts w:ascii="Consolas" w:hAnsi="Consolas"/>
          <w:sz w:val="18"/>
          <w:shd w:val="clear" w:fill="EEF1F4"/>
        </w:rPr>
        <w:t xml:space="preserve">c:\users</w:t>
      </w:r>
      <w:r>
        <w:rPr/>
        <w:t xml:space="preserve">, everything, including read-only items).</w:t>
      </w:r>
    </w:p>
    <w:p>
      <w:pPr>
        <w:spacing w:after="0"/>
      </w:pPr>
    </w:p>
    <w:p>
      <w:pPr>
        <w:pStyle w:val="Heading1"/>
      </w:pPr>
      <w:r>
        <w:rPr/>
        <w:t xml:space="preserve">What gets deleted (at a glance)</w:t>
      </w:r>
    </w:p>
    <w:tbl>
      <w:tblPr>
        <w:tblStyle w:val="TableGrid"/>
        <w:tblW w:w="5000" w:type="pct"/>
        <w:tblBorders>
          <w:top w:val="single" w:sz="4" w:space="0" w:color="B2BDC7"/>
          <w:bottom w:val="single" w:sz="4" w:space="0" w:color="B2BDC7"/>
          <w:left w:val="none" w:sz="0" w:space="0" w:color="auto"/>
          <w:right w:val="none" w:sz="0" w:space="0" w:color="auto"/>
          <w:insideH w:val="single" w:sz="2" w:space="0" w:color="D4DAE1"/>
          <w:insideV w:val="none" w:sz="0" w:space="0" w:color="auto"/>
        </w:tblBorders>
        <w:tblCellMar>
          <w:top w:w="80" w:type="dxa"/>
          <w:left w:w="110" w:type="dxa"/>
          <w:bottom w:w="80" w:type="dxa"/>
          <w:right w:w="110" w:type="dxa"/>
        </w:tblCellMar>
      </w:tblPr>
      <w:tblGrid>
        <w:gridCol w:w="2808"/>
        <w:gridCol w:w="6552"/>
      </w:tblGrid>
      <w:tr>
        <w:trPr>
          <w:tblHeader/>
          <w:cantSplit/>
        </w:trPr>
        <w:tc>
          <w:tcPr>
            <w:tcW w:w="2808" w:type="dxa"/>
            <w:shd w:val="clear" w:fill="1F5C8B"/>
            <w:vAlign w:val="center"/>
          </w:tcPr>
          <w:p>
            <w:pPr>
              <w:pStyle w:val="TableCell"/>
            </w:pPr>
            <w:r>
              <w:rPr>
                <w:b/>
                <w:color w:val="FFFFFF"/>
                <w:sz w:val="17"/>
              </w:rPr>
              <w:t xml:space="preserve">Setting on the request form</w:t>
            </w:r>
          </w:p>
        </w:tc>
        <w:tc>
          <w:tcPr>
            <w:tcW w:w="6552" w:type="dxa"/>
            <w:shd w:val="clear" w:fill="1F5C8B"/>
            <w:vAlign w:val="center"/>
          </w:tcPr>
          <w:p>
            <w:pPr>
              <w:pStyle w:val="TableCell"/>
            </w:pPr>
            <w:r>
              <w:rPr>
                <w:b/>
                <w:color w:val="FFFFFF"/>
                <w:sz w:val="17"/>
              </w:rPr>
              <w:t xml:space="preserve">Effect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Cell"/>
            </w:pPr>
            <w:r>
              <w:rPr>
                <w:sz w:val="18"/>
                <w:b/>
              </w:rPr>
              <w:t xml:space="preserve">Folder(s)</w:t>
            </w:r>
          </w:p>
        </w:tc>
        <w:tc>
          <w:tcPr>
            <w:tcW w:w="6552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Where to clean, e.g.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c:\Windows\ccmcache</w:t>
            </w:r>
            <w:r>
              <w:rPr>
                <w:sz w:val="18"/>
              </w:rPr>
              <w:t xml:space="preserve">. The folder itself is never removed</w:t>
            </w:r>
          </w:p>
        </w:tc>
      </w:tr>
      <w:tr>
        <w:trPr>
          <w:cantSplit/>
        </w:trPr>
        <w:tc>
          <w:tcPr>
            <w:tcW w:w="2808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  <w:b/>
              </w:rPr>
              <w:t xml:space="preserve">File name filter</w:t>
            </w:r>
          </w:p>
        </w:tc>
        <w:tc>
          <w:tcPr>
            <w:tcW w:w="6552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Which files, e.g.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*.*</w:t>
            </w:r>
            <w:r>
              <w:rPr>
                <w:sz w:val="18"/>
              </w:rPr>
              <w:t xml:space="preserve"> (all) or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*.tmp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Cell"/>
            </w:pPr>
            <w:r>
              <w:rPr>
                <w:sz w:val="18"/>
                <w:b/>
              </w:rPr>
              <w:t xml:space="preserve">Older than N days</w:t>
            </w:r>
          </w:p>
        </w:tc>
        <w:tc>
          <w:tcPr>
            <w:tcW w:w="6552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Only items last written more than N days ago.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0</w:t>
            </w:r>
            <w:r>
              <w:rPr>
                <w:sz w:val="18"/>
              </w:rPr>
              <w:t xml:space="preserve"> means everything up to now</w:t>
            </w:r>
          </w:p>
        </w:tc>
      </w:tr>
      <w:tr>
        <w:trPr>
          <w:cantSplit/>
        </w:trPr>
        <w:tc>
          <w:tcPr>
            <w:tcW w:w="2808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  <w:b/>
              </w:rPr>
              <w:t xml:space="preserve">Delete read-only items</w:t>
            </w:r>
          </w:p>
        </w:tc>
        <w:tc>
          <w:tcPr>
            <w:tcW w:w="6552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Also removes read-only files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Cell"/>
            </w:pPr>
            <w:r>
              <w:rPr>
                <w:sz w:val="18"/>
                <w:b/>
              </w:rPr>
              <w:t xml:space="preserve">Delete folders as well</w:t>
            </w:r>
          </w:p>
        </w:tc>
        <w:tc>
          <w:tcPr>
            <w:tcW w:w="6552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Removes whole sub-folders older than the cutoff, </w:t>
            </w:r>
            <w:r>
              <w:rPr>
                <w:sz w:val="18"/>
                <w:b/>
              </w:rPr>
              <w:t xml:space="preserve">only</w:t>
            </w:r>
            <w:r>
              <w:rPr>
                <w:sz w:val="18"/>
              </w:rPr>
              <w:t xml:space="preserve"> when the filter matches every file </w:t>
            </w:r>
            <w:r>
              <w:rPr>
                <w:sz w:val="18"/>
                <w:b/>
              </w:rPr>
              <w:t xml:space="preserve">and</w:t>
            </w:r>
            <w:r>
              <w:rPr>
                <w:sz w:val="18"/>
              </w:rPr>
              <w:t xml:space="preserve"> read-only deletion is on. Otherwise only matching files are cleaned and the report says so</w:t>
            </w:r>
          </w:p>
        </w:tc>
      </w:tr>
      <w:tr>
        <w:trPr>
          <w:cantSplit/>
        </w:trPr>
        <w:tc>
          <w:tcPr>
            <w:tcW w:w="2808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  <w:b/>
              </w:rPr>
              <w:t xml:space="preserve">Report Only / Report and Delete</w:t>
            </w:r>
          </w:p>
        </w:tc>
        <w:tc>
          <w:tcPr>
            <w:tcW w:w="6552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  <w:b/>
              </w:rPr>
              <w:t xml:space="preserve">Report Only is the default.</w:t>
            </w:r>
            <w:r>
              <w:rPr>
                <w:sz w:val="18"/>
              </w:rPr>
              <w:t xml:space="preserve"> It lists what would be deleted and changes nothing</w:t>
            </w:r>
          </w:p>
        </w:tc>
      </w:tr>
    </w:tbl>
    <w:p>
      <w:pPr>
        <w:spacing w:after="0"/>
      </w:pPr>
    </w:p>
    <w:p>
      <w:pPr>
        <w:pStyle w:val="BodyText"/>
      </w:pPr>
      <w:r>
        <w:rPr/>
        <w:t xml:space="preserve">Always kept: the live VMware Tools log (</w:t>
      </w:r>
      <w:r>
        <w:rPr>
          <w:rFonts w:ascii="Consolas" w:hAnsi="Consolas"/>
          <w:sz w:val="18"/>
          <w:shd w:val="clear" w:fill="EEF1F4"/>
        </w:rPr>
        <w:t xml:space="preserve">vmware-vmsvc-SYSTEM.log</w:t>
      </w:r>
      <w:r>
        <w:rPr/>
        <w:t xml:space="preserve">), anything newer than the cutoff, and the target folder itself. System folders such as </w:t>
      </w:r>
      <w:r>
        <w:rPr>
          <w:rFonts w:ascii="Consolas" w:hAnsi="Consolas"/>
          <w:sz w:val="18"/>
          <w:shd w:val="clear" w:fill="EEF1F4"/>
        </w:rPr>
        <w:t xml:space="preserve">\Windows\System32</w:t>
      </w:r>
      <w:r>
        <w:rPr/>
        <w:t xml:space="preserve">, </w:t>
      </w:r>
      <w:r>
        <w:rPr>
          <w:rFonts w:ascii="Consolas" w:hAnsi="Consolas"/>
          <w:sz w:val="18"/>
          <w:shd w:val="clear" w:fill="EEF1F4"/>
        </w:rPr>
        <w:t xml:space="preserve">\Program Files</w:t>
      </w:r>
      <w:r>
        <w:rPr/>
        <w:t xml:space="preserve"> and </w:t>
      </w:r>
      <w:r>
        <w:rPr>
          <w:rFonts w:ascii="Consolas" w:hAnsi="Consolas"/>
          <w:sz w:val="18"/>
          <w:shd w:val="clear" w:fill="EEF1F4"/>
        </w:rPr>
        <w:t xml:space="preserve">\ProgramData</w:t>
      </w:r>
      <w:r>
        <w:rPr/>
        <w:t xml:space="preserve"> are refused as targets. Only known cache folders inside them are allowed.</w:t>
      </w:r>
    </w:p>
    <w:p>
      <w:pPr>
        <w:pStyle w:val="Heading1"/>
      </w:pPr>
      <w:r>
        <w:rPr/>
        <w:t xml:space="preserve">Key improvements over the Ansible automation</w:t>
      </w:r>
    </w:p>
    <w:tbl>
      <w:tblPr>
        <w:tblStyle w:val="TableGrid"/>
        <w:tblW w:w="5000" w:type="pct"/>
        <w:tblBorders>
          <w:top w:val="single" w:sz="4" w:space="0" w:color="B2BDC7"/>
          <w:bottom w:val="single" w:sz="4" w:space="0" w:color="B2BDC7"/>
          <w:left w:val="none" w:sz="0" w:space="0" w:color="auto"/>
          <w:right w:val="none" w:sz="0" w:space="0" w:color="auto"/>
          <w:insideH w:val="single" w:sz="2" w:space="0" w:color="D4DAE1"/>
          <w:insideV w:val="none" w:sz="0" w:space="0" w:color="auto"/>
        </w:tblBorders>
        <w:tblCellMar>
          <w:top w:w="80" w:type="dxa"/>
          <w:left w:w="110" w:type="dxa"/>
          <w:bottom w:w="80" w:type="dxa"/>
          <w:right w:w="110" w:type="dxa"/>
        </w:tblCellMar>
      </w:tblPr>
      <w:tblGrid>
        <w:gridCol w:w="1591"/>
        <w:gridCol w:w="3650"/>
        <w:gridCol w:w="4118"/>
      </w:tblGrid>
      <w:tr>
        <w:trPr>
          <w:tblHeader/>
          <w:cantSplit/>
        </w:trPr>
        <w:tc>
          <w:tcPr>
            <w:tcW w:w="1591" w:type="dxa"/>
            <w:shd w:val="clear" w:fill="1F5C8B"/>
            <w:vAlign w:val="center"/>
          </w:tcPr>
          <w:p>
            <w:pPr>
              <w:pStyle w:val="TableCell"/>
            </w:pPr>
            <w:r>
              <w:rPr>
                <w:b/>
                <w:color w:val="FFFFFF"/>
                <w:sz w:val="17"/>
              </w:rPr>
              <w:t xml:space="preserve">Area</w:t>
            </w:r>
          </w:p>
        </w:tc>
        <w:tc>
          <w:tcPr>
            <w:tcW w:w="3650" w:type="dxa"/>
            <w:shd w:val="clear" w:fill="1F5C8B"/>
            <w:vAlign w:val="center"/>
          </w:tcPr>
          <w:p>
            <w:pPr>
              <w:pStyle w:val="TableCell"/>
            </w:pPr>
            <w:r>
              <w:rPr>
                <w:b/>
                <w:color w:val="FFFFFF"/>
                <w:sz w:val="17"/>
              </w:rPr>
              <w:t xml:space="preserve">Ansible today</w:t>
            </w:r>
          </w:p>
        </w:tc>
        <w:tc>
          <w:tcPr>
            <w:tcW w:w="4118" w:type="dxa"/>
            <w:shd w:val="clear" w:fill="1F5C8B"/>
            <w:vAlign w:val="center"/>
          </w:tcPr>
          <w:p>
            <w:pPr>
              <w:pStyle w:val="TableCell"/>
            </w:pPr>
            <w:r>
              <w:rPr>
                <w:b/>
                <w:color w:val="FFFFFF"/>
                <w:sz w:val="17"/>
              </w:rPr>
              <w:t xml:space="preserve">Orchestrator</w:t>
            </w:r>
          </w:p>
        </w:tc>
      </w:tr>
      <w:tr>
        <w:trPr>
          <w:cantSplit/>
        </w:trPr>
        <w:tc>
          <w:tcPr>
            <w:tcW w:w="1591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Safety</w:t>
            </w:r>
          </w:p>
        </w:tc>
        <w:tc>
          <w:tcPr>
            <w:tcW w:w="3650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Always deleted; no preview</w:t>
            </w:r>
          </w:p>
        </w:tc>
        <w:tc>
          <w:tcPr>
            <w:tcW w:w="4118" w:type="dxa"/>
            <w:vAlign w:val="center"/>
          </w:tcPr>
          <w:p>
            <w:pPr>
              <w:pStyle w:val="TableCell"/>
            </w:pPr>
            <w:r>
              <w:rPr>
                <w:sz w:val="18"/>
                <w:b/>
              </w:rPr>
              <w:t xml:space="preserve">Report Only</w:t>
            </w:r>
            <w:r>
              <w:rPr>
                <w:sz w:val="18"/>
              </w:rPr>
              <w:t xml:space="preserve"> by default; a live run is a deliberate choice</w:t>
            </w:r>
          </w:p>
        </w:tc>
      </w:tr>
      <w:tr>
        <w:trPr>
          <w:cantSplit/>
        </w:trPr>
        <w:tc>
          <w:tcPr>
            <w:tcW w:w="1591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Folder deletion</w:t>
            </w:r>
          </w:p>
        </w:tc>
        <w:tc>
          <w:tcPr>
            <w:tcW w:w="3650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A narrow filter silently kept every folder, or a folder took everything with it</w:t>
            </w:r>
          </w:p>
        </w:tc>
        <w:tc>
          <w:tcPr>
            <w:tcW w:w="4118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Folders are deleted only when explicitly and fully requested; otherwise declined and reported</w:t>
            </w:r>
          </w:p>
        </w:tc>
      </w:tr>
      <w:tr>
        <w:trPr>
          <w:cantSplit/>
        </w:trPr>
        <w:tc>
          <w:tcPr>
            <w:tcW w:w="1591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System folders</w:t>
            </w:r>
          </w:p>
        </w:tc>
        <w:tc>
          <w:tcPr>
            <w:tcW w:w="3650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No guard</w:t>
            </w:r>
          </w:p>
        </w:tc>
        <w:tc>
          <w:tcPr>
            <w:tcW w:w="4118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Drive roots and OS folders refused before anything runs</w:t>
            </w:r>
          </w:p>
        </w:tc>
      </w:tr>
      <w:tr>
        <w:trPr>
          <w:cantSplit/>
        </w:trPr>
        <w:tc>
          <w:tcPr>
            <w:tcW w:w="1591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Targeting</w:t>
            </w:r>
          </w:p>
        </w:tc>
        <w:tc>
          <w:tcPr>
            <w:tcW w:w="3650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All group members, including users and disabled accounts</w:t>
            </w:r>
          </w:p>
        </w:tc>
        <w:tc>
          <w:tcPr>
            <w:tcW w:w="4118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Direct, enabled computer accounts only; nested groups named in a warning</w:t>
            </w:r>
          </w:p>
        </w:tc>
      </w:tr>
      <w:tr>
        <w:trPr>
          <w:cantSplit/>
        </w:trPr>
        <w:tc>
          <w:tcPr>
            <w:tcW w:w="1591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Failures</w:t>
            </w:r>
          </w:p>
        </w:tc>
        <w:tc>
          <w:tcPr>
            <w:tcW w:w="3650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Silent: an unreachable server looked like a clean run</w:t>
            </w:r>
          </w:p>
        </w:tc>
        <w:tc>
          <w:tcPr>
            <w:tcW w:w="4118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Each server's outcome recorded and reported with the reason</w:t>
            </w:r>
          </w:p>
        </w:tc>
      </w:tr>
      <w:tr>
        <w:trPr>
          <w:cantSplit/>
        </w:trPr>
        <w:tc>
          <w:tcPr>
            <w:tcW w:w="1591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Reporting</w:t>
            </w:r>
          </w:p>
        </w:tc>
        <w:tc>
          <w:tcPr>
            <w:tcW w:w="3650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None</w:t>
            </w:r>
          </w:p>
        </w:tc>
        <w:tc>
          <w:tcPr>
            <w:tcW w:w="4118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Per-server HTML email: items, space freed, free space before and after</w:t>
            </w:r>
          </w:p>
        </w:tc>
      </w:tr>
      <w:tr>
        <w:trPr>
          <w:cantSplit/>
        </w:trPr>
        <w:tc>
          <w:tcPr>
            <w:tcW w:w="1591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Script delivery</w:t>
            </w:r>
          </w:p>
        </w:tc>
        <w:tc>
          <w:tcPr>
            <w:tcW w:w="3650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Whole script folder copied on every run</w:t>
            </w:r>
          </w:p>
        </w:tc>
        <w:tc>
          <w:tcPr>
            <w:tcW w:w="4118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Script kept in Orchestrator and copied to the host </w:t>
            </w:r>
            <w:r>
              <w:rPr>
                <w:sz w:val="18"/>
                <w:b/>
              </w:rPr>
              <w:t xml:space="preserve">only when it has changed</w:t>
            </w:r>
            <w:r>
              <w:rPr>
                <w:sz w:val="18"/>
              </w:rPr>
              <w:t xml:space="preserve">, verified by SHA-256</w:t>
            </w:r>
          </w:p>
        </w:tc>
      </w:tr>
      <w:tr>
        <w:trPr>
          <w:cantSplit/>
        </w:trPr>
        <w:tc>
          <w:tcPr>
            <w:tcW w:w="1591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Host selection</w:t>
            </w:r>
          </w:p>
        </w:tc>
        <w:tc>
          <w:tcPr>
            <w:tcW w:w="3650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Fixed inventory host</w:t>
            </w:r>
          </w:p>
        </w:tc>
        <w:tc>
          <w:tcPr>
            <w:tcW w:w="4118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Least-busy PowerShell host picked automatically</w:t>
            </w:r>
          </w:p>
        </w:tc>
      </w:tr>
    </w:tbl>
    <w:p>
      <w:pPr>
        <w:spacing w:after="0"/>
      </w:pPr>
    </w:p>
    <w:p>
      <w:pPr>
        <w:pStyle w:val="Heading1"/>
      </w:pPr>
      <w:r>
        <w:rPr/>
        <w:t xml:space="preserve">Benefits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Lower risk.</w:t>
      </w:r>
      <w:r>
        <w:rPr/>
        <w:t xml:space="preserve"> Preview by default, system-folder guard, and no automatic widening of a request.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Visibility.</w:t>
      </w:r>
      <w:r>
        <w:rPr/>
        <w:t xml:space="preserve"> Every run ends with a per-server account of what was, or would have been, removed and why anything was skipped.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One source of truth.</w:t>
      </w:r>
      <w:r>
        <w:rPr/>
        <w:t xml:space="preserve"> The script lives in Orchestrator and the host copy can never drift from it.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Operates the same way as the other transitioned workflows.</w:t>
      </w:r>
      <w:r>
        <w:rPr/>
        <w:t xml:space="preserve"> It shares their AD, host-selection, staging and email building blocks.</w:t>
      </w:r>
    </w:p>
    <w:p>
      <w:pPr>
        <w:spacing w:after="0"/>
      </w:pPr>
    </w:p>
    <w:p>
      <w:pPr>
        <w:pStyle w:val="Heading1"/>
      </w:pPr>
      <w:r>
        <w:rPr/>
        <w:t xml:space="preserve">Key risks / decisions</w:t>
      </w:r>
    </w:p>
    <w:tbl>
      <w:tblPr>
        <w:tblStyle w:val="TableGrid"/>
        <w:tblW w:w="5000" w:type="pct"/>
        <w:tblBorders>
          <w:top w:val="single" w:sz="4" w:space="0" w:color="B2BDC7"/>
          <w:bottom w:val="single" w:sz="4" w:space="0" w:color="B2BDC7"/>
          <w:left w:val="none" w:sz="0" w:space="0" w:color="auto"/>
          <w:right w:val="none" w:sz="0" w:space="0" w:color="auto"/>
          <w:insideH w:val="single" w:sz="2" w:space="0" w:color="D4DAE1"/>
          <w:insideV w:val="none" w:sz="0" w:space="0" w:color="auto"/>
        </w:tblBorders>
        <w:tblCellMar>
          <w:top w:w="80" w:type="dxa"/>
          <w:left w:w="110" w:type="dxa"/>
          <w:bottom w:w="80" w:type="dxa"/>
          <w:right w:w="110" w:type="dxa"/>
        </w:tblCellMar>
      </w:tblPr>
      <w:tblGrid>
        <w:gridCol w:w="5429"/>
        <w:gridCol w:w="3931"/>
      </w:tblGrid>
      <w:tr>
        <w:trPr>
          <w:tblHeader/>
          <w:cantSplit/>
        </w:trPr>
        <w:tc>
          <w:tcPr>
            <w:tcW w:w="5429" w:type="dxa"/>
            <w:shd w:val="clear" w:fill="1F5C8B"/>
            <w:vAlign w:val="center"/>
          </w:tcPr>
          <w:p>
            <w:pPr>
              <w:pStyle w:val="TableCell"/>
            </w:pPr>
            <w:r>
              <w:rPr>
                <w:b/>
                <w:color w:val="FFFFFF"/>
                <w:sz w:val="17"/>
              </w:rPr>
              <w:t xml:space="preserve">Item</w:t>
            </w:r>
          </w:p>
        </w:tc>
        <w:tc>
          <w:tcPr>
            <w:tcW w:w="3931" w:type="dxa"/>
            <w:shd w:val="clear" w:fill="1F5C8B"/>
            <w:vAlign w:val="center"/>
          </w:tcPr>
          <w:p>
            <w:pPr>
              <w:pStyle w:val="TableCell"/>
            </w:pPr>
            <w:r>
              <w:rPr>
                <w:b/>
                <w:color w:val="FFFFFF"/>
                <w:sz w:val="17"/>
              </w:rPr>
              <w:t xml:space="preserve">Status</w:t>
            </w:r>
          </w:p>
        </w:tc>
      </w:tr>
      <w:tr>
        <w:trPr>
          <w:cantSplit/>
        </w:trPr>
        <w:tc>
          <w:tcPr>
            <w:tcW w:w="5429" w:type="dxa"/>
            <w:vAlign w:val="center"/>
          </w:tcPr>
          <w:p>
            <w:pPr>
              <w:pStyle w:val="TableCell"/>
            </w:pPr>
            <w:r>
              <w:rPr>
                <w:sz w:val="18"/>
                <w:b/>
              </w:rPr>
              <w:t xml:space="preserve">Cache templates and folder deletion.</w:t>
            </w:r>
            <w:r>
              <w:rPr>
                <w:sz w:val="18"/>
              </w:rPr>
              <w:t xml:space="preserve"> The six cache templates run with folders on but read-only deletion off. Under the new rule they clean files only and leave the cache's package folders</w:t>
            </w:r>
          </w:p>
        </w:tc>
        <w:tc>
          <w:tcPr>
            <w:tcW w:w="3931" w:type="dxa"/>
            <w:vAlign w:val="center"/>
          </w:tcPr>
          <w:p>
            <w:pPr>
              <w:pStyle w:val="TableCell"/>
            </w:pPr>
            <w:r>
              <w:rPr>
                <w:sz w:val="18"/>
                <w:b/>
              </w:rPr>
              <w:t xml:space="preserve">Decision needed:</w:t>
            </w:r>
            <w:r>
              <w:rPr>
                <w:sz w:val="18"/>
              </w:rPr>
              <w:t xml:space="preserve"> enable "Delete read-only items" for those templates, or accept file-only cleaning</w:t>
            </w:r>
          </w:p>
        </w:tc>
      </w:tr>
      <w:tr>
        <w:trPr>
          <w:cantSplit/>
        </w:trPr>
        <w:tc>
          <w:tcPr>
            <w:tcW w:w="5429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  <w:b/>
              </w:rPr>
              <w:t xml:space="preserve">Second hop.</w:t>
            </w:r>
            <w:r>
              <w:rPr>
                <w:sz w:val="18"/>
              </w:rPr>
              <w:t xml:space="preserve"> The PowerShell host must reach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\\server\c$</w:t>
            </w:r>
            <w:r>
              <w:rPr>
                <w:sz w:val="18"/>
              </w:rPr>
              <w:t xml:space="preserve"> on every target with delegated credentials</w:t>
            </w:r>
          </w:p>
        </w:tc>
        <w:tc>
          <w:tcPr>
            <w:tcW w:w="3931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Prerequisite: Kerberos delegation (same as the other transitioned workflows)</w:t>
            </w:r>
          </w:p>
        </w:tc>
      </w:tr>
      <w:tr>
        <w:trPr>
          <w:cantSplit/>
        </w:trPr>
        <w:tc>
          <w:tcPr>
            <w:tcW w:w="5429" w:type="dxa"/>
            <w:vAlign w:val="center"/>
          </w:tcPr>
          <w:p>
            <w:pPr>
              <w:pStyle w:val="TableCell"/>
            </w:pPr>
            <w:r>
              <w:rPr>
                <w:sz w:val="18"/>
                <w:b/>
              </w:rPr>
              <w:t xml:space="preserve">Mail relay path.</w:t>
            </w:r>
            <w:r>
              <w:rPr>
                <w:sz w:val="18"/>
              </w:rPr>
              <w:t xml:space="preserve"> Reports are sent </w:t>
            </w:r>
            <w:r>
              <w:rPr>
                <w:sz w:val="18"/>
                <w:b/>
              </w:rPr>
              <w:t xml:space="preserve">by Orchestrator</w:t>
            </w:r>
            <w:r>
              <w:rPr>
                <w:sz w:val="18"/>
              </w:rPr>
              <w:t xml:space="preserve">, so every Orchestrator appliance needs network access to the SMTP relay</w:t>
            </w:r>
          </w:p>
        </w:tc>
        <w:tc>
          <w:tcPr>
            <w:tcW w:w="3931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Prerequisite: firewall / relay allow-list for the appliance addresses</w:t>
            </w:r>
          </w:p>
        </w:tc>
      </w:tr>
      <w:tr>
        <w:trPr>
          <w:cantSplit/>
        </w:trPr>
        <w:tc>
          <w:tcPr>
            <w:tcW w:w="5429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  <w:b/>
              </w:rPr>
              <w:t xml:space="preserve">Long runs.</w:t>
            </w:r>
            <w:r>
              <w:rPr>
                <w:sz w:val="18"/>
              </w:rPr>
              <w:t xml:space="preserve"> A large cache over SMB is slow and runs as one PowerShell call</w:t>
            </w:r>
          </w:p>
        </w:tc>
        <w:tc>
          <w:tcPr>
            <w:tcW w:w="3931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WinRM and plug-in timeouts must exceed the longest run; prove with a Report Only run first</w:t>
            </w:r>
          </w:p>
        </w:tc>
      </w:tr>
      <w:tr>
        <w:trPr>
          <w:cantSplit/>
        </w:trPr>
        <w:tc>
          <w:tcPr>
            <w:tcW w:w="5429" w:type="dxa"/>
            <w:vAlign w:val="center"/>
          </w:tcPr>
          <w:p>
            <w:pPr>
              <w:pStyle w:val="TableCell"/>
            </w:pPr>
            <w:r>
              <w:rPr>
                <w:sz w:val="18"/>
                <w:b/>
              </w:rPr>
              <w:t xml:space="preserve">Folder removed whole.</w:t>
            </w:r>
            <w:r>
              <w:rPr>
                <w:sz w:val="18"/>
              </w:rPr>
              <w:t xml:space="preserve"> A folder older than the cutoff goes with everything in it, including newer files inside it</w:t>
            </w:r>
          </w:p>
        </w:tc>
        <w:tc>
          <w:tcPr>
            <w:tcW w:w="3931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By design (the profile templates depend on it); documented in the User Guide</w:t>
            </w:r>
          </w:p>
        </w:tc>
      </w:tr>
    </w:tbl>
    <w:p>
      <w:pPr>
        <w:spacing w:after="0"/>
      </w:pPr>
    </w:p>
    <w:p>
      <w:pPr>
        <w:pStyle w:val="Heading1"/>
      </w:pPr>
      <w:r>
        <w:rPr/>
        <w:t xml:space="preserve">Status</w:t>
      </w:r>
    </w:p>
    <w:p>
      <w:pPr>
        <w:pStyle w:val="BodyText"/>
      </w:pPr>
      <w:r>
        <w:rPr/>
        <w:t xml:space="preserve">Built and validated in the lab against real SMB admin shares: script behaviour, staging, host selection, the folder rule and the system-folder guard. Remaining before production: the workflow changes listed in the Implementation Guide §3, the production mail and host settings, and the cache-template decision above.</w:t>
      </w:r>
    </w:p>
    <w:sectPr>
      <w:footerReference w:type="default" r:id="rId4"/>
      <w:pgSz w:w="12240" w:h="15840"/>
      <w:pgMar w:top="1440" w:right="1440" w:bottom="1440" w:left="1440" w:header="720" w:footer="600" w:gutter="0"/>
      <w:cols w:space="720"/>
      <w:docGrid w:linePitch="36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6" w:color="D4DAE1"/>
      </w:pBdr>
      <w:tabs>
        <w:tab w:val="right" w:pos="9360"/>
      </w:tabs>
      <w:spacing w:after="0"/>
    </w:pPr>
    <w:r>
      <w:rPr>
        <w:sz w:val="15"/>
        <w:color w:val="8996A3"/>
      </w:rPr>
      <w:t xml:space="preserve">Executive Summary  |  Windows Server Disk Cleans</w:t>
    </w:r>
    <w:r>
      <w:tab/>
    </w:r>
    <w:r>
      <w:rPr>
        <w:sz w:val="15"/>
        <w:color w:val="8996A3"/>
      </w:rP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sz w:val="15"/>
        <w:color w:val="8996A3"/>
      </w:rP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360" w:hanging="27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720" w:hanging="270"/>
      </w:pPr>
      <w:rPr>
        <w:rFonts w:ascii="Courier New" w:hAnsi="Courier New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60" w:hanging="270"/>
      </w:pPr>
    </w:lvl>
    <w:lvl w:ilvl="1">
      <w:start w:val="1"/>
      <w:numFmt w:val="lowerLetter"/>
      <w:lvlText w:val="%2."/>
      <w:lvlJc w:val="left"/>
      <w:pPr>
        <w:ind w:left="720" w:hanging="27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updateFields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Segoe UI" w:hAnsi="Segoe UI" w:cs="Segoe UI"/>
        <w:sz w:val="20"/>
        <w:szCs w:val="20"/>
        <w:color w:val="16202B"/>
      </w:rPr>
    </w:rPrDefault>
    <w:pPrDefault>
      <w:pPr>
        <w:spacing w:after="140" w:line="276" w:lineRule="auto"/>
      </w:pPr>
    </w:pPrDefault>
  </w:docDefaults>
  <w:style w:type="paragraph" w:styleId="Normal" w:default="1">
    <w:name w:val="Normal"/>
  </w:style>
  <w:style w:type="paragraph" w:styleId="BodyText">
    <w:name w:val="Body Text"/>
    <w:basedOn w:val="Normal"/>
  </w:style>
  <w:style w:type="paragraph" w:styleId="Title">
    <w:name w:val="Title"/>
    <w:basedOn w:val="Normal"/>
    <w:next w:val="BodyText"/>
    <w:pPr>
      <w:spacing w:before="0" w:after="80"/>
    </w:pPr>
    <w:rPr>
      <w:rFonts w:ascii="Segoe UI" w:hAnsi="Segoe UI" w:cs="Segoe UI"/>
      <w:sz w:val="52"/>
      <w:b/>
      <w:color w:val="16202B"/>
    </w:rPr>
  </w:style>
  <w:style w:type="paragraph" w:styleId="Subtitle">
    <w:name w:val="Subtitle"/>
    <w:basedOn w:val="Normal"/>
    <w:next w:val="BodyText"/>
    <w:pPr>
      <w:spacing w:after="360"/>
    </w:pPr>
    <w:rPr>
      <w:rFonts w:ascii="Segoe UI" w:hAnsi="Segoe UI" w:cs="Segoe UI"/>
      <w:sz w:val="24"/>
      <w:color w:val="5B6875"/>
    </w:rPr>
  </w:style>
  <w:style w:type="paragraph" w:styleId="Eyebrow">
    <w:name w:val="Eyebrow"/>
    <w:basedOn w:val="Normal"/>
    <w:next w:val="Title"/>
    <w:pPr>
      <w:spacing w:after="60"/>
    </w:pPr>
    <w:rPr>
      <w:rFonts w:ascii="Segoe UI" w:hAnsi="Segoe UI" w:cs="Segoe UI"/>
      <w:sz w:val="16"/>
      <w:b/>
      <w:caps/>
      <w:color w:val="8996A3"/>
    </w:rPr>
  </w:style>
  <w:style w:type="paragraph" w:styleId="Heading1">
    <w:name w:val="heading 1"/>
    <w:basedOn w:val="Normal"/>
    <w:next w:val="BodyText"/>
    <w:pPr>
      <w:outlineLvl w:val="0"/>
      <w:spacing w:before="360" w:after="140"/>
      <w:keepNext/>
      <w:pBdr>
        <w:bottom w:val="single" w:sz="6" w:space="6" w:color="D4DAE1"/>
      </w:pBdr>
    </w:pPr>
    <w:rPr>
      <w:rFonts w:ascii="Segoe UI" w:hAnsi="Segoe UI" w:cs="Segoe UI"/>
      <w:sz w:val="32"/>
      <w:b/>
      <w:color w:val="16202B"/>
    </w:rPr>
  </w:style>
  <w:style w:type="paragraph" w:styleId="Heading2">
    <w:name w:val="heading 2"/>
    <w:basedOn w:val="Normal"/>
    <w:next w:val="BodyText"/>
    <w:pPr>
      <w:outlineLvl w:val="1"/>
      <w:spacing w:before="280" w:after="100"/>
      <w:keepNext/>
    </w:pPr>
    <w:rPr>
      <w:rFonts w:ascii="Segoe UI" w:hAnsi="Segoe UI" w:cs="Segoe UI"/>
      <w:sz w:val="24"/>
      <w:b/>
      <w:color w:val="1F5C8B"/>
    </w:rPr>
  </w:style>
  <w:style w:type="paragraph" w:styleId="Heading3">
    <w:name w:val="heading 3"/>
    <w:basedOn w:val="Normal"/>
    <w:next w:val="BodyText"/>
    <w:pPr>
      <w:outlineLvl w:val="2"/>
      <w:spacing w:before="220" w:after="80"/>
      <w:keepNext/>
    </w:pPr>
    <w:rPr>
      <w:rFonts w:ascii="Segoe UI" w:hAnsi="Segoe UI" w:cs="Segoe UI"/>
      <w:sz w:val="21"/>
      <w:b/>
      <w:color w:val="16202B"/>
    </w:rPr>
  </w:style>
  <w:style w:type="paragraph" w:styleId="Caption">
    <w:name w:val="caption"/>
    <w:basedOn w:val="Normal"/>
    <w:next w:val="BodyText"/>
    <w:pPr>
      <w:jc w:val="center"/>
      <w:spacing w:after="240"/>
    </w:pPr>
    <w:rPr>
      <w:rFonts w:ascii="Segoe UI" w:hAnsi="Segoe UI" w:cs="Segoe UI"/>
      <w:sz w:val="17"/>
      <w:i/>
      <w:color w:val="5B6875"/>
    </w:rPr>
  </w:style>
  <w:style w:type="paragraph" w:styleId="CodeBlock">
    <w:name w:val="Code Block"/>
    <w:basedOn w:val="Normal"/>
    <w:pPr>
      <w:shd w:val="clear" w:fill="F7F9FA"/>
      <w:spacing w:after="0" w:line="240" w:lineRule="auto"/>
      <w:ind w:left="120"/>
    </w:pPr>
    <w:rPr>
      <w:rFonts w:ascii="Consolas" w:hAnsi="Consolas"/>
      <w:sz w:val="17"/>
    </w:rPr>
  </w:style>
  <w:style w:type="paragraph" w:styleId="TableCell">
    <w:name w:val="Table Cell"/>
    <w:basedOn w:val="Normal"/>
    <w:pPr>
      <w:spacing w:before="20" w:after="20" w:line="240" w:lineRule="auto"/>
    </w:pPr>
    <w:rPr>
      <w:sz w:val="18"/>
    </w:rPr>
  </w:style>
  <w:style w:type="paragraph" w:styleId="ListParagraph">
    <w:name w:val="List Paragraph"/>
    <w:basedOn w:val="Normal"/>
    <w:pPr>
      <w:ind w:left="360"/>
      <w:contextualSpacing/>
      <w:spacing w:after="60"/>
    </w:pPr>
  </w:style>
  <w:style w:type="table" w:styleId="TableGrid">
    <w:name w:val="Table Grid"/>
    <w:tblPr>
      <w:tblCellMar>
        <w:top w:w="80" w:type="dxa"/>
        <w:left w:w="110" w:type="dxa"/>
        <w:bottom w:w="80" w:type="dxa"/>
        <w:right w:w="110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Orchestrator documentation build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Executive Summary</dc:title>
  <dc:subject>Windows Server Disk Cleans</dc:subject>
  <dc:creator>Orchestrator documentation build</dc:creator>
  <cp:lastModifiedBy>Orchestrator documentation build</cp:lastModifiedBy>
  <dcterms:created xsi:type="dcterms:W3CDTF">2026-09-30T19:07:34Z</dcterms:created>
  <dcterms:modified xsi:type="dcterms:W3CDTF">2026-09-30T19:07:34Z</dcterms:modified>
</cp:coreProperties>
</file>