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Eyebrow"/>
      </w:pPr>
      <w:r>
        <w:rPr/>
        <w:t xml:space="preserve">Windows Server Disk Cleans</w:t>
      </w:r>
    </w:p>
    <w:p>
      <w:pPr>
        <w:pStyle w:val="Title"/>
      </w:pPr>
      <w:r>
        <w:rPr/>
        <w:t xml:space="preserve">Implementation Guide</w:t>
      </w:r>
    </w:p>
    <w:p>
      <w:pPr>
        <w:pStyle w:val="Subtitle"/>
      </w:pPr>
      <w:r>
        <w:rPr/>
        <w:t xml:space="preserve">This guide covers preparing the environment, importing the Orchestrator content, loading the script, pointing the workflow at your PowerShell host and mail relay, and scheduling the production templates. Steps assume VCF Automation 9 / VCF Operations Orchestrator 9 (Orchestrator Client HTML UI).</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rPr>
          <w:cantSplit/>
        </w:trPr>
        <w:tc>
          <w:tcPr>
            <w:tcW w:w="2621" w:type="dxa"/>
            <w:vAlign w:val="center"/>
          </w:tcPr>
          <w:p>
            <w:pPr>
              <w:pStyle w:val="TableCell"/>
            </w:pPr>
            <w:r>
              <w:rPr>
                <w:b/>
                <w:caps/>
                <w:sz w:val="15"/>
                <w:color w:val="5B6875"/>
              </w:rPr>
              <w:t xml:space="preserve">Document</w:t>
            </w:r>
          </w:p>
        </w:tc>
        <w:tc>
          <w:tcPr>
            <w:tcW w:w="6739" w:type="dxa"/>
            <w:vAlign w:val="center"/>
          </w:tcPr>
          <w:p>
            <w:pPr>
              <w:pStyle w:val="TableCell"/>
            </w:pPr>
            <w:r>
              <w:rPr>
                <w:sz w:val="18"/>
              </w:rPr>
              <w:t xml:space="preserve">Implementation Guide</w:t>
            </w:r>
          </w:p>
        </w:tc>
      </w:tr>
      <w:tr>
        <w:trPr>
          <w:cantSplit/>
        </w:trPr>
        <w:tc>
          <w:tcPr>
            <w:tcW w:w="2621" w:type="dxa"/>
            <w:vAlign w:val="center"/>
          </w:tcPr>
          <w:p>
            <w:pPr>
              <w:pStyle w:val="TableCell"/>
            </w:pPr>
            <w:r>
              <w:rPr>
                <w:b/>
                <w:caps/>
                <w:sz w:val="15"/>
                <w:color w:val="5B6875"/>
              </w:rPr>
              <w:t xml:space="preserve">Package</w:t>
            </w:r>
          </w:p>
        </w:tc>
        <w:tc>
          <w:tcPr>
            <w:tcW w:w="6739" w:type="dxa"/>
            <w:vAlign w:val="center"/>
          </w:tcPr>
          <w:p>
            <w:pPr>
              <w:pStyle w:val="TableCell"/>
            </w:pPr>
            <w:r>
              <w:rPr>
                <w:sz w:val="18"/>
              </w:rPr>
              <w:t xml:space="preserve">Windows Server Disk Cleans</w:t>
            </w:r>
          </w:p>
        </w:tc>
      </w:tr>
      <w:tr>
        <w:trPr>
          <w:cantSplit/>
        </w:trP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Operations Orchestrator 9</w:t>
            </w:r>
          </w:p>
        </w:tc>
      </w:tr>
      <w:tr>
        <w:trPr>
          <w:cantSplit/>
        </w:trPr>
        <w:tc>
          <w:tcPr>
            <w:tcW w:w="2621" w:type="dxa"/>
            <w:vAlign w:val="center"/>
          </w:tcPr>
          <w:p>
            <w:pPr>
              <w:pStyle w:val="TableCell"/>
            </w:pPr>
            <w:r>
              <w:rPr>
                <w:b/>
                <w:caps/>
                <w:sz w:val="15"/>
                <w:color w:val="5B6875"/>
              </w:rPr>
              <w:t xml:space="preserve">Source</w:t>
            </w:r>
          </w:p>
        </w:tc>
        <w:tc>
          <w:tcPr>
            <w:tcW w:w="6739" w:type="dxa"/>
            <w:vAlign w:val="center"/>
          </w:tcPr>
          <w:p>
            <w:pPr>
              <w:pStyle w:val="TableCell"/>
            </w:pPr>
            <w:r>
              <w:rPr>
                <w:sz w:val="18"/>
                <w:rFonts w:ascii="Consolas" w:hAnsi="Consolas"/>
                <w:sz w:val="18"/>
                <w:shd w:val="clear" w:fill="EEF1F4"/>
              </w:rPr>
              <w:t xml:space="preserve">03_Implementation_Guide.md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Generated file</w:t>
            </w:r>
          </w:p>
          <w:p>
            <w:pPr>
              <w:spacing w:after="0"/>
            </w:pPr>
            <w:r>
              <w:rPr/>
              <w:t xml:space="preserve">This document is generated from </w:t>
            </w:r>
            <w:r>
              <w:rPr>
                <w:b/>
              </w:rPr>
              <w:t xml:space="preserve">03_Implementation_Guide.md</w:t>
            </w:r>
            <w:r>
              <w:rPr/>
              <w:t xml:space="preserve">. Edit the Markdown and rebuild - changes made here are lost the next time it is built.</w:t>
            </w:r>
          </w:p>
        </w:tc>
      </w:tr>
    </w:tbl>
    <w:p>
      <w:pPr>
        <w:spacing w:after="0"/>
      </w:pP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p>
      <w:pPr>
        <w:pStyle w:val="BodyText"/>
      </w:pPr>
      <w:r>
        <w:rPr/>
        <w:t xml:space="preserve">What gets installed:</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089"/>
        <w:gridCol w:w="2995"/>
        <w:gridCol w:w="3276"/>
      </w:tblGrid>
      <w:tr>
        <w:trPr>
          <w:tblHeader/>
          <w:cantSplit/>
        </w:trPr>
        <w:tc>
          <w:tcPr>
            <w:tcW w:w="3089" w:type="dxa"/>
            <w:shd w:val="clear" w:fill="1F5C8B"/>
            <w:vAlign w:val="center"/>
          </w:tcPr>
          <w:p>
            <w:pPr>
              <w:pStyle w:val="TableCell"/>
            </w:pPr>
            <w:r>
              <w:rPr>
                <w:b/>
                <w:color w:val="FFFFFF"/>
                <w:sz w:val="17"/>
              </w:rPr>
              <w:t xml:space="preserve">Object</w:t>
            </w:r>
          </w:p>
        </w:tc>
        <w:tc>
          <w:tcPr>
            <w:tcW w:w="2995" w:type="dxa"/>
            <w:shd w:val="clear" w:fill="1F5C8B"/>
            <w:vAlign w:val="center"/>
          </w:tcPr>
          <w:p>
            <w:pPr>
              <w:pStyle w:val="TableCell"/>
            </w:pPr>
            <w:r>
              <w:rPr>
                <w:b/>
                <w:color w:val="FFFFFF"/>
                <w:sz w:val="17"/>
              </w:rPr>
              <w:t xml:space="preserve">Type</w:t>
            </w:r>
          </w:p>
        </w:tc>
        <w:tc>
          <w:tcPr>
            <w:tcW w:w="3276" w:type="dxa"/>
            <w:shd w:val="clear" w:fill="1F5C8B"/>
            <w:vAlign w:val="center"/>
          </w:tcPr>
          <w:p>
            <w:pPr>
              <w:pStyle w:val="TableCell"/>
            </w:pPr>
            <w:r>
              <w:rPr>
                <w:b/>
                <w:color w:val="FFFFFF"/>
                <w:sz w:val="17"/>
              </w:rPr>
              <w:t xml:space="preserve">Module / folder</w:t>
            </w:r>
          </w:p>
        </w:tc>
      </w:tr>
      <w:tr>
        <w:trPr>
          <w:cantSplit/>
        </w:trPr>
        <w:tc>
          <w:tcPr>
            <w:tcW w:w="3089" w:type="dxa"/>
            <w:vAlign w:val="center"/>
          </w:tcPr>
          <w:p>
            <w:pPr>
              <w:pStyle w:val="TableCell"/>
            </w:pPr>
            <w:r>
              <w:rPr>
                <w:sz w:val="18"/>
                <w:rFonts w:ascii="Consolas" w:hAnsi="Consolas"/>
                <w:sz w:val="18"/>
                <w:shd w:val="clear" w:fill="EEF1F4"/>
              </w:rPr>
              <w:t xml:space="preserve">Windows Server Disk Cleans</w:t>
            </w:r>
          </w:p>
        </w:tc>
        <w:tc>
          <w:tcPr>
            <w:tcW w:w="2995" w:type="dxa"/>
            <w:vAlign w:val="center"/>
          </w:tcPr>
          <w:p>
            <w:pPr>
              <w:pStyle w:val="TableCell"/>
            </w:pPr>
            <w:r>
              <w:rPr>
                <w:sz w:val="18"/>
              </w:rPr>
              <w:t xml:space="preserve">Workflow</w:t>
            </w:r>
          </w:p>
        </w:tc>
        <w:tc>
          <w:tcPr>
            <w:tcW w:w="3276" w:type="dxa"/>
            <w:vAlign w:val="center"/>
          </w:tcPr>
          <w:p>
            <w:pPr>
              <w:pStyle w:val="TableCell"/>
            </w:pPr>
            <w:r>
              <w:rPr>
                <w:sz w:val="18"/>
              </w:rPr>
              <w:t xml:space="preserve">—</w:t>
            </w:r>
          </w:p>
        </w:tc>
      </w:tr>
      <w:tr>
        <w:trPr>
          <w:cantSplit/>
        </w:trPr>
        <w:tc>
          <w:tcPr>
            <w:tcW w:w="3089" w:type="dxa"/>
            <w:shd w:val="clear" w:fill="F2F4F6"/>
            <w:vAlign w:val="center"/>
          </w:tcPr>
          <w:p>
            <w:pPr>
              <w:pStyle w:val="TableCell"/>
            </w:pPr>
            <w:r>
              <w:rPr>
                <w:sz w:val="18"/>
                <w:rFonts w:ascii="Consolas" w:hAnsi="Consolas"/>
                <w:sz w:val="18"/>
                <w:shd w:val="clear" w:fill="EEF1F4"/>
              </w:rPr>
              <w:t xml:space="preserve">findAdHostForDn</w:t>
            </w:r>
          </w:p>
        </w:tc>
        <w:tc>
          <w:tcPr>
            <w:tcW w:w="2995" w:type="dxa"/>
            <w:shd w:val="clear" w:fill="F2F4F6"/>
            <w:vAlign w:val="center"/>
          </w:tcPr>
          <w:p>
            <w:pPr>
              <w:pStyle w:val="TableCell"/>
            </w:pPr>
            <w:r>
              <w:rPr>
                <w:sz w:val="18"/>
              </w:rPr>
              <w:t xml:space="preserve">Action (shared)</w:t>
            </w:r>
          </w:p>
        </w:tc>
        <w:tc>
          <w:tcPr>
            <w:tcW w:w="3276" w:type="dxa"/>
            <w:shd w:val="clear" w:fill="F2F4F6"/>
            <w:vAlign w:val="center"/>
          </w:tcPr>
          <w:p>
            <w:pPr>
              <w:pStyle w:val="TableCell"/>
            </w:pPr>
            <w:r>
              <w:rPr>
                <w:sz w:val="18"/>
                <w:rFonts w:ascii="Consolas" w:hAnsi="Consolas"/>
                <w:sz w:val="18"/>
                <w:shd w:val="clear" w:fill="EEF1F4"/>
              </w:rPr>
              <w:t xml:space="preserve">com.broadcom.pso.vcf.activedirectory</w:t>
            </w:r>
          </w:p>
        </w:tc>
      </w:tr>
      <w:tr>
        <w:trPr>
          <w:cantSplit/>
        </w:trPr>
        <w:tc>
          <w:tcPr>
            <w:tcW w:w="3089" w:type="dxa"/>
            <w:vAlign w:val="center"/>
          </w:tcPr>
          <w:p>
            <w:pPr>
              <w:pStyle w:val="TableCell"/>
            </w:pPr>
            <w:r>
              <w:rPr>
                <w:sz w:val="18"/>
                <w:rFonts w:ascii="Consolas" w:hAnsi="Consolas"/>
                <w:sz w:val="18"/>
                <w:shd w:val="clear" w:fill="EEF1F4"/>
              </w:rPr>
              <w:t xml:space="preserve">resolveAdGroup</w:t>
            </w:r>
          </w:p>
        </w:tc>
        <w:tc>
          <w:tcPr>
            <w:tcW w:w="2995" w:type="dxa"/>
            <w:vAlign w:val="center"/>
          </w:tcPr>
          <w:p>
            <w:pPr>
              <w:pStyle w:val="TableCell"/>
            </w:pPr>
            <w:r>
              <w:rPr>
                <w:sz w:val="18"/>
              </w:rPr>
              <w:t xml:space="preserve">Action (shared)</w:t>
            </w:r>
          </w:p>
        </w:tc>
        <w:tc>
          <w:tcPr>
            <w:tcW w:w="3276" w:type="dxa"/>
            <w:vAlign w:val="center"/>
          </w:tcPr>
          <w:p>
            <w:pPr>
              <w:pStyle w:val="TableCell"/>
            </w:pPr>
            <w:r>
              <w:rPr>
                <w:sz w:val="18"/>
                <w:rFonts w:ascii="Consolas" w:hAnsi="Consolas"/>
                <w:sz w:val="18"/>
                <w:shd w:val="clear" w:fill="EEF1F4"/>
              </w:rPr>
              <w:t xml:space="preserve">com.broadcom.pso.vcf.activedirectory</w:t>
            </w:r>
          </w:p>
        </w:tc>
      </w:tr>
      <w:tr>
        <w:trPr>
          <w:cantSplit/>
        </w:trPr>
        <w:tc>
          <w:tcPr>
            <w:tcW w:w="3089" w:type="dxa"/>
            <w:shd w:val="clear" w:fill="F2F4F6"/>
            <w:vAlign w:val="center"/>
          </w:tcPr>
          <w:p>
            <w:pPr>
              <w:pStyle w:val="TableCell"/>
            </w:pPr>
            <w:r>
              <w:rPr>
                <w:sz w:val="18"/>
                <w:rFonts w:ascii="Consolas" w:hAnsi="Consolas"/>
                <w:sz w:val="18"/>
                <w:shd w:val="clear" w:fill="EEF1F4"/>
              </w:rPr>
              <w:t xml:space="preserve">getADComputersGroupDirectMembers</w:t>
            </w:r>
          </w:p>
        </w:tc>
        <w:tc>
          <w:tcPr>
            <w:tcW w:w="2995" w:type="dxa"/>
            <w:shd w:val="clear" w:fill="F2F4F6"/>
            <w:vAlign w:val="center"/>
          </w:tcPr>
          <w:p>
            <w:pPr>
              <w:pStyle w:val="TableCell"/>
            </w:pPr>
            <w:r>
              <w:rPr>
                <w:sz w:val="18"/>
              </w:rPr>
              <w:t xml:space="preserve">Action (shared)</w:t>
            </w:r>
          </w:p>
        </w:tc>
        <w:tc>
          <w:tcPr>
            <w:tcW w:w="3276" w:type="dxa"/>
            <w:shd w:val="clear" w:fill="F2F4F6"/>
            <w:vAlign w:val="center"/>
          </w:tcPr>
          <w:p>
            <w:pPr>
              <w:pStyle w:val="TableCell"/>
            </w:pPr>
            <w:r>
              <w:rPr>
                <w:sz w:val="18"/>
                <w:rFonts w:ascii="Consolas" w:hAnsi="Consolas"/>
                <w:sz w:val="18"/>
                <w:shd w:val="clear" w:fill="EEF1F4"/>
              </w:rPr>
              <w:t xml:space="preserve">com.broadcom.pso.vcf.activedirectory</w:t>
            </w:r>
          </w:p>
        </w:tc>
      </w:tr>
      <w:tr>
        <w:trPr>
          <w:cantSplit/>
        </w:trPr>
        <w:tc>
          <w:tcPr>
            <w:tcW w:w="3089" w:type="dxa"/>
            <w:vAlign w:val="center"/>
          </w:tcPr>
          <w:p>
            <w:pPr>
              <w:pStyle w:val="TableCell"/>
            </w:pPr>
            <w:r>
              <w:rPr>
                <w:sz w:val="18"/>
                <w:rFonts w:ascii="Consolas" w:hAnsi="Consolas"/>
                <w:sz w:val="18"/>
                <w:shd w:val="clear" w:fill="EEF1F4"/>
              </w:rPr>
              <w:t xml:space="preserve">selectPowerShellHost</w:t>
            </w:r>
          </w:p>
        </w:tc>
        <w:tc>
          <w:tcPr>
            <w:tcW w:w="2995" w:type="dxa"/>
            <w:vAlign w:val="center"/>
          </w:tcPr>
          <w:p>
            <w:pPr>
              <w:pStyle w:val="TableCell"/>
            </w:pPr>
            <w:r>
              <w:rPr>
                <w:sz w:val="18"/>
              </w:rPr>
              <w:t xml:space="preserve">Action (shared)</w:t>
            </w:r>
          </w:p>
        </w:tc>
        <w:tc>
          <w:tcPr>
            <w:tcW w:w="3276" w:type="dxa"/>
            <w:vAlign w:val="center"/>
          </w:tcPr>
          <w:p>
            <w:pPr>
              <w:pStyle w:val="TableCell"/>
            </w:pPr>
            <w:r>
              <w:rPr>
                <w:sz w:val="18"/>
                <w:rFonts w:ascii="Consolas" w:hAnsi="Consolas"/>
                <w:sz w:val="18"/>
                <w:shd w:val="clear" w:fill="EEF1F4"/>
              </w:rPr>
              <w:t xml:space="preserve">com.broadcom.pso.powershell</w:t>
            </w:r>
          </w:p>
        </w:tc>
      </w:tr>
      <w:tr>
        <w:trPr>
          <w:cantSplit/>
        </w:trPr>
        <w:tc>
          <w:tcPr>
            <w:tcW w:w="3089" w:type="dxa"/>
            <w:shd w:val="clear" w:fill="F2F4F6"/>
            <w:vAlign w:val="center"/>
          </w:tcPr>
          <w:p>
            <w:pPr>
              <w:pStyle w:val="TableCell"/>
            </w:pPr>
            <w:r>
              <w:rPr>
                <w:sz w:val="18"/>
                <w:rFonts w:ascii="Consolas" w:hAnsi="Consolas"/>
                <w:sz w:val="18"/>
                <w:shd w:val="clear" w:fill="EEF1F4"/>
              </w:rPr>
              <w:t xml:space="preserve">stageScriptOnHost</w:t>
            </w:r>
          </w:p>
        </w:tc>
        <w:tc>
          <w:tcPr>
            <w:tcW w:w="2995" w:type="dxa"/>
            <w:shd w:val="clear" w:fill="F2F4F6"/>
            <w:vAlign w:val="center"/>
          </w:tcPr>
          <w:p>
            <w:pPr>
              <w:pStyle w:val="TableCell"/>
            </w:pPr>
            <w:r>
              <w:rPr>
                <w:sz w:val="18"/>
              </w:rPr>
              <w:t xml:space="preserve">Action (shared)</w:t>
            </w:r>
          </w:p>
        </w:tc>
        <w:tc>
          <w:tcPr>
            <w:tcW w:w="3276" w:type="dxa"/>
            <w:shd w:val="clear" w:fill="F2F4F6"/>
            <w:vAlign w:val="center"/>
          </w:tcPr>
          <w:p>
            <w:pPr>
              <w:pStyle w:val="TableCell"/>
            </w:pPr>
            <w:r>
              <w:rPr>
                <w:sz w:val="18"/>
                <w:rFonts w:ascii="Consolas" w:hAnsi="Consolas"/>
                <w:sz w:val="18"/>
                <w:shd w:val="clear" w:fill="EEF1F4"/>
              </w:rPr>
              <w:t xml:space="preserve">com.broadcom.pso.powershell</w:t>
            </w:r>
          </w:p>
        </w:tc>
      </w:tr>
      <w:tr>
        <w:trPr>
          <w:cantSplit/>
        </w:trPr>
        <w:tc>
          <w:tcPr>
            <w:tcW w:w="3089" w:type="dxa"/>
            <w:vAlign w:val="center"/>
          </w:tcPr>
          <w:p>
            <w:pPr>
              <w:pStyle w:val="TableCell"/>
            </w:pPr>
            <w:r>
              <w:rPr>
                <w:sz w:val="18"/>
                <w:rFonts w:ascii="Consolas" w:hAnsi="Consolas"/>
                <w:sz w:val="18"/>
                <w:shd w:val="clear" w:fill="EEF1F4"/>
              </w:rPr>
              <w:t xml:space="preserve">invokeStagedScript</w:t>
            </w:r>
          </w:p>
        </w:tc>
        <w:tc>
          <w:tcPr>
            <w:tcW w:w="2995" w:type="dxa"/>
            <w:vAlign w:val="center"/>
          </w:tcPr>
          <w:p>
            <w:pPr>
              <w:pStyle w:val="TableCell"/>
            </w:pPr>
            <w:r>
              <w:rPr>
                <w:sz w:val="18"/>
              </w:rPr>
              <w:t xml:space="preserve">Action (shared)</w:t>
            </w:r>
          </w:p>
        </w:tc>
        <w:tc>
          <w:tcPr>
            <w:tcW w:w="3276" w:type="dxa"/>
            <w:vAlign w:val="center"/>
          </w:tcPr>
          <w:p>
            <w:pPr>
              <w:pStyle w:val="TableCell"/>
            </w:pPr>
            <w:r>
              <w:rPr>
                <w:sz w:val="18"/>
                <w:rFonts w:ascii="Consolas" w:hAnsi="Consolas"/>
                <w:sz w:val="18"/>
                <w:shd w:val="clear" w:fill="EEF1F4"/>
              </w:rPr>
              <w:t xml:space="preserve">com.broadcom.pso.powershell</w:t>
            </w:r>
          </w:p>
        </w:tc>
      </w:tr>
      <w:tr>
        <w:trPr>
          <w:cantSplit/>
        </w:trPr>
        <w:tc>
          <w:tcPr>
            <w:tcW w:w="3089" w:type="dxa"/>
            <w:shd w:val="clear" w:fill="F2F4F6"/>
            <w:vAlign w:val="center"/>
          </w:tcPr>
          <w:p>
            <w:pPr>
              <w:pStyle w:val="TableCell"/>
            </w:pPr>
            <w:r>
              <w:rPr>
                <w:sz w:val="18"/>
                <w:rFonts w:ascii="Consolas" w:hAnsi="Consolas"/>
                <w:sz w:val="18"/>
                <w:shd w:val="clear" w:fill="EEF1F4"/>
              </w:rPr>
              <w:t xml:space="preserve">Invoke-ServerDiskClean.ps1</w:t>
            </w:r>
          </w:p>
        </w:tc>
        <w:tc>
          <w:tcPr>
            <w:tcW w:w="2995" w:type="dxa"/>
            <w:shd w:val="clear" w:fill="F2F4F6"/>
            <w:vAlign w:val="center"/>
          </w:tcPr>
          <w:p>
            <w:pPr>
              <w:pStyle w:val="TableCell"/>
            </w:pPr>
            <w:r>
              <w:rPr>
                <w:sz w:val="18"/>
              </w:rPr>
              <w:t xml:space="preserve">Resource Element</w:t>
            </w:r>
          </w:p>
        </w:tc>
        <w:tc>
          <w:tcPr>
            <w:tcW w:w="3276" w:type="dxa"/>
            <w:shd w:val="clear" w:fill="F2F4F6"/>
            <w:vAlign w:val="center"/>
          </w:tcPr>
          <w:p>
            <w:pPr>
              <w:pStyle w:val="TableCell"/>
            </w:pPr>
            <w:r>
              <w:rPr>
                <w:sz w:val="18"/>
              </w:rPr>
              <w:t xml:space="preserve">—</w:t>
            </w:r>
          </w:p>
        </w:tc>
      </w:tr>
      <w:tr>
        <w:trPr>
          <w:cantSplit/>
        </w:trPr>
        <w:tc>
          <w:tcPr>
            <w:tcW w:w="3089" w:type="dxa"/>
            <w:vAlign w:val="center"/>
          </w:tcPr>
          <w:p>
            <w:pPr>
              <w:pStyle w:val="TableCell"/>
            </w:pPr>
            <w:r>
              <w:rPr>
                <w:sz w:val="18"/>
                <w:i/>
              </w:rPr>
              <w:t xml:space="preserve">Send notification (TLSv1.2)</w:t>
            </w:r>
          </w:p>
        </w:tc>
        <w:tc>
          <w:tcPr>
            <w:tcW w:w="2995" w:type="dxa"/>
            <w:vAlign w:val="center"/>
          </w:tcPr>
          <w:p>
            <w:pPr>
              <w:pStyle w:val="TableCell"/>
            </w:pPr>
            <w:r>
              <w:rPr>
                <w:sz w:val="18"/>
              </w:rPr>
              <w:t xml:space="preserve">Workflow (OOTB, already present)</w:t>
            </w:r>
          </w:p>
        </w:tc>
        <w:tc>
          <w:tcPr>
            <w:tcW w:w="3276" w:type="dxa"/>
            <w:vAlign w:val="center"/>
          </w:tcPr>
          <w:p>
            <w:pPr>
              <w:pStyle w:val="TableCell"/>
            </w:pPr>
            <w:r>
              <w:rPr>
                <w:sz w:val="18"/>
              </w:rPr>
              <w:t xml:space="preserve">Library &gt; Mail</w:t>
            </w:r>
          </w:p>
        </w:tc>
      </w:tr>
    </w:tbl>
    <w:p>
      <w:pPr>
        <w:spacing w:after="0"/>
      </w:pPr>
    </w:p>
    <w:p>
      <w:pPr>
        <w:pStyle w:val="BodyText"/>
      </w:pPr>
      <w:r>
        <w:rPr/>
        <w:t xml:space="preserve">The script is </w:t>
      </w:r>
      <w:r>
        <w:rPr>
          <w:b/>
        </w:rPr>
        <w:t xml:space="preserve">not</w:t>
      </w:r>
      <w:r>
        <w:rPr/>
        <w:t xml:space="preserve"> installed on the PowerShell host by hand. The workflow copies it there on the first run and re-copies it only when the Resource Element changes.</w:t>
      </w:r>
    </w:p>
    <w:p>
      <w:pPr>
        <w:pStyle w:val="Heading1"/>
      </w:pPr>
      <w:r>
        <w:rPr/>
        <w:t xml:space="preserve">1. Prerequisites</w:t>
      </w:r>
    </w:p>
    <w:p>
      <w:pPr>
        <w:pStyle w:val="ListParagraph"/>
        <w:ind w:left="360" w:hanging="270"/>
      </w:pPr>
      <w:r>
        <w:rPr>
          <w:rFonts w:ascii="Segoe UI Symbol" w:hAnsi="Segoe UI Symbol"/>
          <w:sz w:val="21"/>
        </w:rPr>
        <w:t xml:space="preserve">☐  </w:t>
      </w:r>
      <w:r>
        <w:rPr>
          <w:b/>
        </w:rPr>
        <w:t xml:space="preserve">PowerShell host(s) added to Orchestrator.</w:t>
      </w:r>
      <w:r>
        <w:rPr/>
        <w:t xml:space="preserve"> Windows Server reachable over</w:t>
      </w:r>
    </w:p>
    <w:p>
      <w:pPr>
        <w:spacing w:after="0"/>
      </w:pPr>
    </w:p>
    <w:p>
      <w:pPr>
        <w:pStyle w:val="BodyText"/>
      </w:pPr>
      <w:r>
        <w:rPr/>
        <w:t xml:space="preserve">WinRM/HTTPS (5986) with Kerberos, added with </w:t>
      </w:r>
      <w:r>
        <w:rPr>
          <w:i/>
        </w:rPr>
        <w:t xml:space="preserve">Add a PowerShell host</w:t>
      </w:r>
      <w:r>
        <w:rPr/>
        <w:t xml:space="preserve">. See </w:t>
      </w:r>
      <w:r>
        <w:rPr>
          <w:i/>
        </w:rPr>
        <w:t xml:space="preserve">How to Build a PowerShell Host</w:t>
      </w:r>
      <w:r>
        <w:rPr/>
        <w:t xml:space="preserve"> (</w:t>
      </w:r>
      <w:r>
        <w:rPr>
          <w:rFonts w:ascii="Consolas" w:hAnsi="Consolas"/>
          <w:sz w:val="18"/>
          <w:shd w:val="clear" w:fill="EEF1F4"/>
        </w:rPr>
        <w:t xml:space="preserve">_Shared/Documentation/PowerShell Host Build Guide</w:t>
      </w:r>
      <w:r>
        <w:rPr/>
        <w:t xml:space="preserve">).</w:t>
      </w:r>
    </w:p>
    <w:p>
      <w:pPr>
        <w:pStyle w:val="ListParagraph"/>
        <w:ind w:left="360" w:hanging="270"/>
      </w:pPr>
      <w:r>
        <w:rPr>
          <w:rFonts w:ascii="Segoe UI Symbol" w:hAnsi="Segoe UI Symbol"/>
          <w:sz w:val="21"/>
        </w:rPr>
        <w:t xml:space="preserve">☐  </w:t>
      </w:r>
      <w:r>
        <w:rPr>
          <w:b/>
        </w:rPr>
        <w:t xml:space="preserve">Listener certificate is SHA-256.</w:t>
      </w:r>
      <w:r>
        <w:rPr/>
        <w:t xml:space="preserve"> A SHA-1-signed WinRM certificate is refused</w:t>
      </w:r>
    </w:p>
    <w:p>
      <w:pPr>
        <w:spacing w:after="0"/>
      </w:pPr>
    </w:p>
    <w:p>
      <w:pPr>
        <w:pStyle w:val="BodyText"/>
      </w:pPr>
      <w:r>
        <w:rPr/>
        <w:t xml:space="preserve">and the only symptom is an empty result:</w:t>
      </w:r>
    </w:p>
    <w:p>
      <w:pPr>
        <w:pStyle w:val="CodeBlock"/>
        <w:pBdr>
          <w:left w:val="single" w:sz="18" w:space="6" w:color="1F5C8B"/>
          <w:top w:val="single" w:sz="2" w:space="4" w:color="D4DAE1"/>
          <w:bottom w:val="single" w:sz="2" w:space="4" w:color="D4DAE1"/>
        </w:pBdr>
        <w:spacing w:before="120" w:after="160"/>
      </w:pPr>
      <w:r>
        <w:rPr>
          <w:rFonts w:ascii="Consolas" w:hAnsi="Consolas"/>
          <w:sz w:val="17"/>
        </w:rPr>
        <w:t xml:space="preserve">      curl -vk https://&lt;pshost&gt;:5986/wsman 2&gt;&amp;1 | grep 'signed using'</w:t>
      </w:r>
    </w:p>
    <w:p>
      <w:pPr>
        <w:spacing w:after="0"/>
      </w:pPr>
    </w:p>
    <w:p>
      <w:pPr>
        <w:pStyle w:val="ListParagraph"/>
        <w:ind w:left="360" w:hanging="270"/>
      </w:pPr>
      <w:r>
        <w:rPr>
          <w:rFonts w:ascii="Segoe UI Symbol" w:hAnsi="Segoe UI Symbol"/>
          <w:sz w:val="21"/>
        </w:rPr>
        <w:t xml:space="preserve">☐  </w:t>
      </w:r>
      <w:r>
        <w:rPr>
          <w:b/>
        </w:rPr>
        <w:t xml:space="preserve">Kerberos constrained delegation</w:t>
      </w:r>
      <w:r>
        <w:rPr/>
        <w:t xml:space="preserve"> for the PowerShell host, so its remote session</w:t>
      </w:r>
    </w:p>
    <w:p>
      <w:pPr>
        <w:spacing w:after="0"/>
      </w:pPr>
    </w:p>
    <w:p>
      <w:pPr>
        <w:pStyle w:val="BodyText"/>
      </w:pPr>
      <w:r>
        <w:rPr/>
        <w:t xml:space="preserve">can open </w:t>
      </w:r>
      <w:r>
        <w:rPr>
          <w:rFonts w:ascii="Consolas" w:hAnsi="Consolas"/>
          <w:sz w:val="18"/>
          <w:shd w:val="clear" w:fill="EEF1F4"/>
        </w:rPr>
        <w:t xml:space="preserve">\\server\c$</w:t>
      </w:r>
      <w:r>
        <w:rPr/>
        <w:t xml:space="preserve"> on the targets (the second hop).</w:t>
      </w:r>
    </w:p>
    <w:p>
      <w:pPr>
        <w:pStyle w:val="ListParagraph"/>
        <w:ind w:left="360" w:hanging="270"/>
      </w:pPr>
      <w:r>
        <w:rPr>
          <w:rFonts w:ascii="Segoe UI Symbol" w:hAnsi="Segoe UI Symbol"/>
          <w:sz w:val="21"/>
        </w:rPr>
        <w:t xml:space="preserve">☐  </w:t>
      </w:r>
      <w:r>
        <w:rPr>
          <w:b/>
        </w:rPr>
        <w:t xml:space="preserve">Host account rights:</w:t>
      </w:r>
      <w:r>
        <w:rPr/>
        <w:t xml:space="preserve"> the account the PowerShell host object connects as is a</w:t>
      </w:r>
    </w:p>
    <w:p>
      <w:pPr>
        <w:spacing w:after="0"/>
      </w:pPr>
    </w:p>
    <w:p>
      <w:pPr>
        <w:pStyle w:val="BodyText"/>
      </w:pPr>
      <w:r>
        <w:rPr>
          <w:b/>
        </w:rPr>
        <w:t xml:space="preserve">local administrator on every target</w:t>
      </w:r>
      <w:r>
        <w:rPr/>
        <w:t xml:space="preserve"> (the admin share requires it).</w:t>
      </w:r>
    </w:p>
    <w:p>
      <w:pPr>
        <w:pStyle w:val="ListParagraph"/>
        <w:ind w:left="360" w:hanging="270"/>
      </w:pPr>
      <w:r>
        <w:rPr>
          <w:rFonts w:ascii="Segoe UI Symbol" w:hAnsi="Segoe UI Symbol"/>
          <w:sz w:val="21"/>
        </w:rPr>
        <w:t xml:space="preserve">☐  </w:t>
      </w:r>
      <w:r>
        <w:rPr>
          <w:b/>
        </w:rPr>
        <w:t xml:space="preserve">Network, PowerShell host → targets:</w:t>
      </w:r>
      <w:r>
        <w:rPr/>
        <w:t xml:space="preserve"> SMB, TCP 445.</w:t>
      </w:r>
    </w:p>
    <w:p>
      <w:pPr>
        <w:pStyle w:val="ListParagraph"/>
        <w:ind w:left="360" w:hanging="270"/>
      </w:pPr>
      <w:r>
        <w:rPr>
          <w:rFonts w:ascii="Segoe UI Symbol" w:hAnsi="Segoe UI Symbol"/>
          <w:sz w:val="21"/>
        </w:rPr>
        <w:t xml:space="preserve">☐  </w:t>
      </w:r>
      <w:r>
        <w:rPr>
          <w:b/>
        </w:rPr>
        <w:t xml:space="preserve">AD plug-in endpoint</w:t>
      </w:r>
      <w:r>
        <w:rPr/>
        <w:t xml:space="preserve"> registered for </w:t>
      </w:r>
      <w:r>
        <w:rPr>
          <w:b/>
        </w:rPr>
        <w:t xml:space="preserve">every domain</w:t>
      </w:r>
      <w:r>
        <w:rPr/>
        <w:t xml:space="preserve"> whose groups will be</w:t>
      </w:r>
    </w:p>
    <w:p>
      <w:pPr>
        <w:spacing w:after="0"/>
      </w:pPr>
    </w:p>
    <w:p>
      <w:pPr>
        <w:pStyle w:val="BodyText"/>
      </w:pPr>
      <w:r>
        <w:rPr/>
        <w:t xml:space="preserve">targeted. The endpoint is chosen from the group DN's </w:t>
      </w:r>
      <w:r>
        <w:rPr>
          <w:rFonts w:ascii="Consolas" w:hAnsi="Consolas"/>
          <w:sz w:val="18"/>
          <w:shd w:val="clear" w:fill="EEF1F4"/>
        </w:rPr>
        <w:t xml:space="preserve">DC=</w:t>
      </w:r>
      <w:r>
        <w:rPr/>
        <w:t xml:space="preserve"> parts.</w:t>
      </w:r>
    </w:p>
    <w:p>
      <w:pPr>
        <w:pStyle w:val="ListParagraph"/>
        <w:ind w:left="360" w:hanging="270"/>
      </w:pPr>
      <w:r>
        <w:rPr>
          <w:rFonts w:ascii="Segoe UI Symbol" w:hAnsi="Segoe UI Symbol"/>
          <w:sz w:val="21"/>
        </w:rPr>
        <w:t xml:space="preserve">☐  </w:t>
      </w:r>
      <w:r>
        <w:rPr>
          <w:b/>
        </w:rPr>
        <w:t xml:space="preserve">Network, every Orchestrator appliance → SMTP relay</w:t>
      </w:r>
      <w:r>
        <w:rPr/>
        <w:t xml:space="preserve"> on the port the relay</w:t>
      </w:r>
    </w:p>
    <w:p>
      <w:pPr>
        <w:spacing w:after="0"/>
      </w:pPr>
    </w:p>
    <w:p>
      <w:pPr>
        <w:pStyle w:val="BodyText"/>
      </w:pPr>
      <w:r>
        <w:rPr/>
        <w:t xml:space="preserve">listens on (25 today), DNS resolution of the relay name, and the appliance addresses on the relay's allow-list. The PowerShell host's relay access </w:t>
      </w:r>
      <w:r>
        <w:rPr>
          <w:b/>
        </w:rPr>
        <w:t xml:space="preserve">does not cover</w:t>
      </w:r>
      <w:r>
        <w:rPr/>
        <w:t xml:space="preserve"> Orchestrator.</w:t>
      </w:r>
    </w:p>
    <w:p>
      <w:pPr>
        <w:pStyle w:val="ListParagraph"/>
        <w:ind w:left="360" w:hanging="270"/>
      </w:pPr>
      <w:r>
        <w:rPr>
          <w:rFonts w:ascii="Segoe UI Symbol" w:hAnsi="Segoe UI Symbol"/>
          <w:sz w:val="21"/>
        </w:rPr>
        <w:t xml:space="preserve">☐  </w:t>
      </w:r>
      <w:r>
        <w:rPr>
          <w:b/>
        </w:rPr>
        <w:t xml:space="preserve">If the relay uses TLS:</w:t>
      </w:r>
      <w:r>
        <w:rPr/>
        <w:t xml:space="preserve"> its certificate imported into Orchestrator (§7).</w:t>
      </w:r>
    </w:p>
    <w:p>
      <w:pPr>
        <w:pStyle w:val="ListParagraph"/>
        <w:ind w:left="360" w:hanging="270"/>
      </w:pPr>
      <w:r>
        <w:rPr>
          <w:rFonts w:ascii="Segoe UI Symbol" w:hAnsi="Segoe UI Symbol"/>
          <w:sz w:val="21"/>
        </w:rPr>
        <w:t xml:space="preserve">☐  </w:t>
      </w:r>
      <w:r>
        <w:rPr>
          <w:b/>
        </w:rPr>
        <w:t xml:space="preserve">WinRM timeout headroom</w:t>
      </w:r>
      <w:r>
        <w:rPr/>
        <w:t xml:space="preserve"> on the PowerShell host (§8).</w:t>
      </w:r>
    </w:p>
    <w:p>
      <w:pPr>
        <w:spacing w:after="0"/>
      </w:pPr>
    </w:p>
    <w:p>
      <w:pPr>
        <w:pStyle w:val="BodyText"/>
      </w:pPr>
      <w:r>
        <w:rPr/>
        <w:t xml:space="preserve">The ActiveDirectory (RSAT) module is </w:t>
      </w:r>
      <w:r>
        <w:rPr>
          <w:b/>
        </w:rPr>
        <w:t xml:space="preserve">not</w:t>
      </w:r>
      <w:r>
        <w:rPr/>
        <w:t xml:space="preserve"> needed on the PowerShell host.</w:t>
      </w:r>
    </w:p>
    <w:p>
      <w:pPr>
        <w:pStyle w:val="Heading1"/>
      </w:pPr>
      <w:r>
        <w:rPr/>
        <w:t xml:space="preserve">2. Import the Orchestrator package</w:t>
      </w:r>
    </w:p>
    <w:p>
      <w:pPr>
        <w:pStyle w:val="ListParagraph"/>
        <w:numPr>
          <w:ilvl w:val="0"/>
          <w:numId w:val="2"/>
        </w:numPr>
      </w:pPr>
      <w:r>
        <w:rPr>
          <w:b/>
        </w:rPr>
        <w:t xml:space="preserve">Assets → Packages → Import</w:t>
      </w:r>
      <w:r>
        <w:rPr/>
        <w:t xml:space="preserve">, and select </w:t>
      </w:r>
      <w:r>
        <w:rPr>
          <w:rFonts w:ascii="Consolas" w:hAnsi="Consolas"/>
          <w:sz w:val="18"/>
          <w:shd w:val="clear" w:fill="EEF1F4"/>
        </w:rPr>
        <w:t xml:space="preserve">com.broadcom.pso.servers.windows.serverDiskClean.package</w:t>
      </w:r>
      <w:r>
        <w:rPr/>
        <w:t xml:space="preserve"> (re-exported after §3).</w:t>
      </w:r>
    </w:p>
    <w:p>
      <w:pPr>
        <w:pStyle w:val="ListParagraph"/>
        <w:numPr>
          <w:ilvl w:val="0"/>
          <w:numId w:val="2"/>
        </w:numPr>
      </w:pPr>
      <w:r>
        <w:rPr/>
        <w:t xml:space="preserve">Trust the signing certificate if prompted.</w:t>
      </w:r>
    </w:p>
    <w:p>
      <w:pPr>
        <w:pStyle w:val="ListParagraph"/>
        <w:numPr>
          <w:ilvl w:val="0"/>
          <w:numId w:val="2"/>
        </w:numPr>
      </w:pPr>
      <w:r>
        <w:rPr>
          <w:b/>
        </w:rPr>
        <w:t xml:space="preserve">Shared actions:</w:t>
      </w:r>
      <w:r>
        <w:rPr/>
        <w:t xml:space="preserve"> the actions in the table above are shared with other transitioned workflows and may </w:t>
      </w:r>
      <w:r>
        <w:rPr>
          <w:b/>
        </w:rPr>
        <w:t xml:space="preserve">already exist</w:t>
      </w:r>
      <w:r>
        <w:rPr/>
        <w:t xml:space="preserve">. Do not create second copies under other names. Overwrite an existing action only if this package carries a newer version.</w:t>
      </w:r>
    </w:p>
    <w:p>
      <w:pPr>
        <w:pStyle w:val="ListParagraph"/>
        <w:numPr>
          <w:ilvl w:val="0"/>
          <w:numId w:val="2"/>
        </w:numPr>
      </w:pPr>
      <w:r>
        <w:rPr/>
        <w:t xml:space="preserve">Confirm the workflow and actions appear in the library.</w:t>
      </w:r>
    </w:p>
    <w:p>
      <w:pPr>
        <w:spacing w:after="0"/>
      </w:pPr>
    </w:p>
    <w:p>
      <w:pPr>
        <w:pStyle w:val="Heading1"/>
      </w:pPr>
      <w:r>
        <w:rPr/>
        <w:t xml:space="preserve">3. Workflow changes to complete (as of 2026-09-30)</w:t>
      </w:r>
    </w:p>
    <w:p>
      <w:pPr>
        <w:pStyle w:val="BodyText"/>
      </w:pPr>
      <w:r>
        <w:rPr/>
        <w:t xml:space="preserve">The deployed workflow (</w:t>
      </w:r>
      <w:r>
        <w:rPr>
          <w:rFonts w:ascii="Consolas" w:hAnsi="Consolas"/>
          <w:sz w:val="18"/>
          <w:shd w:val="clear" w:fill="EEF1F4"/>
        </w:rPr>
        <w:t xml:space="preserve">Code/serverDiskCleansWorkflow.yml</w:t>
      </w:r>
      <w:r>
        <w:rPr/>
        <w:t xml:space="preserve">, exported 2026-09-30) is up to date except for the items below. Make them, test (§10), then re-export the package and the </w:t>
      </w:r>
      <w:r>
        <w:rPr>
          <w:rFonts w:ascii="Consolas" w:hAnsi="Consolas"/>
          <w:sz w:val="18"/>
          <w:shd w:val="clear" w:fill="EEF1F4"/>
        </w:rPr>
        <w:t xml:space="preserve">.yml</w:t>
      </w:r>
      <w:r>
        <w:rPr/>
        <w:t xml:space="preserve">.</w:t>
      </w:r>
    </w:p>
    <w:p>
      <w:pPr>
        <w:pStyle w:val="BodyText"/>
      </w:pPr>
      <w:r>
        <w:rPr>
          <w:b/>
        </w:rPr>
        <w:t xml:space="preserve">3.1 Fix two output names.</w:t>
      </w:r>
      <w:r>
        <w:rPr/>
        <w:t xml:space="preserve"> In </w:t>
      </w:r>
      <w:r>
        <w:rPr>
          <w:i/>
        </w:rPr>
        <w:t xml:space="preserve">Parse Results</w:t>
      </w:r>
      <w:r>
        <w:rPr/>
        <w:t xml:space="preserve"> the script sets </w:t>
      </w:r>
      <w:r>
        <w:rPr>
          <w:rFonts w:ascii="Consolas" w:hAnsi="Consolas"/>
          <w:sz w:val="18"/>
          <w:shd w:val="clear" w:fill="EEF1F4"/>
        </w:rPr>
        <w:t xml:space="preserve">executionOutput</w:t>
      </w:r>
      <w:r>
        <w:rPr/>
        <w:t xml:space="preserve"> and </w:t>
      </w:r>
      <w:r>
        <w:rPr>
          <w:rFonts w:ascii="Consolas" w:hAnsi="Consolas"/>
          <w:sz w:val="18"/>
          <w:shd w:val="clear" w:fill="EEF1F4"/>
        </w:rPr>
        <w:t xml:space="preserve">serversProcessed</w:t>
      </w:r>
      <w:r>
        <w:rPr/>
        <w:t xml:space="preserve">, but the task's OUT bindings and the workflow outputs are named </w:t>
      </w:r>
      <w:r>
        <w:rPr>
          <w:rFonts w:ascii="Consolas" w:hAnsi="Consolas"/>
          <w:sz w:val="18"/>
          <w:shd w:val="clear" w:fill="EEF1F4"/>
        </w:rPr>
        <w:t xml:space="preserve">executionOuput</w:t>
      </w:r>
      <w:r>
        <w:rPr/>
        <w:t xml:space="preserve"> and </w:t>
      </w:r>
      <w:r>
        <w:rPr>
          <w:rFonts w:ascii="Consolas" w:hAnsi="Consolas"/>
          <w:sz w:val="18"/>
          <w:shd w:val="clear" w:fill="EEF1F4"/>
        </w:rPr>
        <w:t xml:space="preserve">ServersProcessed</w:t>
      </w:r>
      <w:r>
        <w:rPr/>
        <w:t xml:space="preserve">, so both outputs are always empty. Rename the workflow outputs </w:t>
      </w:r>
      <w:r>
        <w:rPr>
          <w:b/>
        </w:rPr>
        <w:t xml:space="preserve">and</w:t>
      </w:r>
      <w:r>
        <w:rPr/>
        <w:t xml:space="preserve"> the task's OUT binding names to </w:t>
      </w:r>
      <w:r>
        <w:rPr>
          <w:rFonts w:ascii="Consolas" w:hAnsi="Consolas"/>
          <w:sz w:val="18"/>
          <w:shd w:val="clear" w:fill="EEF1F4"/>
        </w:rPr>
        <w:t xml:space="preserve">executionOutput</w:t>
      </w:r>
      <w:r>
        <w:rPr/>
        <w:t xml:space="preserve"> and </w:t>
      </w:r>
      <w:r>
        <w:rPr>
          <w:rFonts w:ascii="Consolas" w:hAnsi="Consolas"/>
          <w:sz w:val="18"/>
          <w:shd w:val="clear" w:fill="EEF1F4"/>
        </w:rPr>
        <w:t xml:space="preserve">serversProcessed</w:t>
      </w:r>
      <w:r>
        <w:rPr/>
        <w:t xml:space="preserve">.</w:t>
      </w:r>
    </w:p>
    <w:p>
      <w:pPr>
        <w:pStyle w:val="BodyText"/>
      </w:pPr>
      <w:r>
        <w:rPr>
          <w:b/>
        </w:rPr>
        <w:t xml:space="preserve">3.2 Send one email, synchronously.</w:t>
      </w:r>
      <w:r>
        <w:rPr/>
        <w:t xml:space="preserve"> Replace the per-recipient loop (</w:t>
      </w:r>
      <w:r>
        <w:rPr>
          <w:i/>
        </w:rPr>
        <w:t xml:space="preserve">Set Mail Loop Counter</w:t>
      </w:r>
      <w:r>
        <w:rPr/>
        <w:t xml:space="preserve">, </w:t>
      </w:r>
      <w:r>
        <w:rPr>
          <w:i/>
        </w:rPr>
        <w:t xml:space="preserve">More Emails to Send?</w:t>
      </w:r>
      <w:r>
        <w:rPr/>
        <w:t xml:space="preserve">, </w:t>
      </w:r>
      <w:r>
        <w:rPr>
          <w:i/>
        </w:rPr>
        <w:t xml:space="preserve">Select Email Address</w:t>
      </w:r>
      <w:r>
        <w:rPr/>
        <w:t xml:space="preserve">, the asynchronous </w:t>
      </w:r>
      <w:r>
        <w:rPr>
          <w:i/>
        </w:rPr>
        <w:t xml:space="preserve">Send notification (TLSv1.2)</w:t>
      </w:r>
      <w:r>
        <w:rPr/>
        <w:t xml:space="preserve">, </w:t>
      </w:r>
      <w:r>
        <w:rPr>
          <w:i/>
        </w:rPr>
        <w:t xml:space="preserve">Increase counter</w:t>
      </w:r>
      <w:r>
        <w:rPr/>
        <w:t xml:space="preserve">, and the attributes </w:t>
      </w:r>
      <w:r>
        <w:rPr>
          <w:rFonts w:ascii="Consolas" w:hAnsi="Consolas"/>
          <w:sz w:val="18"/>
          <w:shd w:val="clear" w:fill="EEF1F4"/>
        </w:rPr>
        <w:t xml:space="preserve">mailLoopCounter</w:t>
      </w:r>
      <w:r>
        <w:rPr/>
        <w:t xml:space="preserve"> / </w:t>
      </w:r>
      <w:r>
        <w:rPr>
          <w:rFonts w:ascii="Consolas" w:hAnsi="Consolas"/>
          <w:sz w:val="18"/>
          <w:shd w:val="clear" w:fill="EEF1F4"/>
        </w:rPr>
        <w:t xml:space="preserve">emailAddress</w:t>
      </w:r>
      <w:r>
        <w:rPr/>
        <w:t xml:space="preserve">) with:</w:t>
      </w:r>
    </w:p>
    <w:p>
      <w:pPr>
        <w:pStyle w:val="ListParagraph"/>
        <w:numPr>
          <w:ilvl w:val="0"/>
          <w:numId w:val="2"/>
        </w:numPr>
      </w:pPr>
      <w:r>
        <w:rPr>
          <w:b/>
        </w:rPr>
        <w:t xml:space="preserve">Create Script Parameters:</w:t>
      </w:r>
      <w:r>
        <w:rPr/>
        <w:t xml:space="preserve"> add an OUT binding </w:t>
      </w:r>
      <w:r>
        <w:rPr>
          <w:rFonts w:ascii="Consolas" w:hAnsi="Consolas"/>
          <w:sz w:val="18"/>
          <w:shd w:val="clear" w:fill="EEF1F4"/>
        </w:rPr>
        <w:t xml:space="preserve">mailToString</w:t>
      </w:r>
      <w:r>
        <w:rPr/>
        <w:t xml:space="preserve"> (string) to a new attribute </w:t>
      </w:r>
      <w:r>
        <w:rPr>
          <w:rFonts w:ascii="Consolas" w:hAnsi="Consolas"/>
          <w:sz w:val="18"/>
          <w:shd w:val="clear" w:fill="EEF1F4"/>
        </w:rPr>
        <w:t xml:space="preserve">mailToString</w:t>
      </w:r>
      <w:r>
        <w:rPr/>
        <w:t xml:space="preserve">. The task already builds it: all recipients, comma-separated.</w:t>
      </w:r>
    </w:p>
    <w:p>
      <w:pPr>
        <w:pStyle w:val="ListParagraph"/>
        <w:numPr>
          <w:ilvl w:val="0"/>
          <w:numId w:val="2"/>
        </w:numPr>
      </w:pPr>
      <w:r>
        <w:rPr>
          <w:b/>
        </w:rPr>
        <w:t xml:space="preserve">Send notification (TLSv1.2)</w:t>
      </w:r>
      <w:r>
        <w:rPr/>
        <w:t xml:space="preserve"> as a </w:t>
      </w:r>
      <w:r>
        <w:rPr>
          <w:b/>
        </w:rPr>
        <w:t xml:space="preserve">Workflow element</w:t>
      </w:r>
      <w:r>
        <w:rPr/>
        <w:t xml:space="preserve"> (drag the workflow itself onto the canvas, </w:t>
      </w:r>
      <w:r>
        <w:rPr>
          <w:i/>
        </w:rPr>
        <w:t xml:space="preserve">not</w:t>
      </w:r>
      <w:r>
        <w:rPr/>
        <w:t xml:space="preserve"> "Start an asynchronous workflow"), bound:</w:t>
      </w:r>
    </w:p>
    <w:p>
      <w:pPr>
        <w:spacing w:after="0"/>
      </w:pP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5148"/>
        <w:gridCol w:w="4212"/>
      </w:tblGrid>
      <w:tr>
        <w:trPr>
          <w:tblHeader/>
          <w:cantSplit/>
        </w:trPr>
        <w:tc>
          <w:tcPr>
            <w:tcW w:w="5148" w:type="dxa"/>
            <w:shd w:val="clear" w:fill="1F5C8B"/>
            <w:vAlign w:val="center"/>
          </w:tcPr>
          <w:p>
            <w:pPr>
              <w:pStyle w:val="TableCell"/>
            </w:pPr>
            <w:r>
              <w:rPr>
                <w:b/>
                <w:color w:val="FFFFFF"/>
                <w:sz w:val="17"/>
              </w:rPr>
              <w:t xml:space="preserve">OOTB input</w:t>
            </w:r>
          </w:p>
        </w:tc>
        <w:tc>
          <w:tcPr>
            <w:tcW w:w="4212" w:type="dxa"/>
            <w:shd w:val="clear" w:fill="1F5C8B"/>
            <w:vAlign w:val="center"/>
          </w:tcPr>
          <w:p>
            <w:pPr>
              <w:pStyle w:val="TableCell"/>
            </w:pPr>
            <w:r>
              <w:rPr>
                <w:b/>
                <w:color w:val="FFFFFF"/>
                <w:sz w:val="17"/>
              </w:rPr>
              <w:t xml:space="preserve">Bind to</w:t>
            </w:r>
          </w:p>
        </w:tc>
      </w:tr>
      <w:tr>
        <w:trPr>
          <w:cantSplit/>
        </w:trPr>
        <w:tc>
          <w:tcPr>
            <w:tcW w:w="5148" w:type="dxa"/>
            <w:vAlign w:val="center"/>
          </w:tcPr>
          <w:p>
            <w:pPr>
              <w:pStyle w:val="TableCell"/>
            </w:pPr>
            <w:r>
              <w:rPr>
                <w:sz w:val="18"/>
                <w:rFonts w:ascii="Consolas" w:hAnsi="Consolas"/>
                <w:sz w:val="18"/>
                <w:shd w:val="clear" w:fill="EEF1F4"/>
              </w:rPr>
              <w:t xml:space="preserve">smtpHost</w:t>
            </w:r>
            <w:r>
              <w:rPr>
                <w:sz w:val="18"/>
              </w:rPr>
              <w:t xml:space="preserve">, </w:t>
            </w:r>
            <w:r>
              <w:rPr>
                <w:sz w:val="18"/>
                <w:rFonts w:ascii="Consolas" w:hAnsi="Consolas"/>
                <w:sz w:val="18"/>
                <w:shd w:val="clear" w:fill="EEF1F4"/>
              </w:rPr>
              <w:t xml:space="preserve">smtpPort</w:t>
            </w:r>
            <w:r>
              <w:rPr>
                <w:sz w:val="18"/>
              </w:rPr>
              <w:t xml:space="preserve">, </w:t>
            </w:r>
            <w:r>
              <w:rPr>
                <w:sz w:val="18"/>
                <w:rFonts w:ascii="Consolas" w:hAnsi="Consolas"/>
                <w:sz w:val="18"/>
                <w:shd w:val="clear" w:fill="EEF1F4"/>
              </w:rPr>
              <w:t xml:space="preserve">username</w:t>
            </w:r>
            <w:r>
              <w:rPr>
                <w:sz w:val="18"/>
              </w:rPr>
              <w:t xml:space="preserve">, </w:t>
            </w:r>
            <w:r>
              <w:rPr>
                <w:sz w:val="18"/>
                <w:rFonts w:ascii="Consolas" w:hAnsi="Consolas"/>
                <w:sz w:val="18"/>
                <w:shd w:val="clear" w:fill="EEF1F4"/>
              </w:rPr>
              <w:t xml:space="preserve">password</w:t>
            </w:r>
            <w:r>
              <w:rPr>
                <w:sz w:val="18"/>
              </w:rPr>
              <w:t xml:space="preserve">, </w:t>
            </w:r>
            <w:r>
              <w:rPr>
                <w:sz w:val="18"/>
                <w:rFonts w:ascii="Consolas" w:hAnsi="Consolas"/>
                <w:sz w:val="18"/>
                <w:shd w:val="clear" w:fill="EEF1F4"/>
              </w:rPr>
              <w:t xml:space="preserve">fromName</w:t>
            </w:r>
            <w:r>
              <w:rPr>
                <w:sz w:val="18"/>
              </w:rPr>
              <w:t xml:space="preserve">, </w:t>
            </w:r>
            <w:r>
              <w:rPr>
                <w:sz w:val="18"/>
                <w:rFonts w:ascii="Consolas" w:hAnsi="Consolas"/>
                <w:sz w:val="18"/>
                <w:shd w:val="clear" w:fill="EEF1F4"/>
              </w:rPr>
              <w:t xml:space="preserve">fromAddress</w:t>
            </w:r>
            <w:r>
              <w:rPr>
                <w:sz w:val="18"/>
              </w:rPr>
              <w:t xml:space="preserve">, </w:t>
            </w:r>
            <w:r>
              <w:rPr>
                <w:sz w:val="18"/>
                <w:rFonts w:ascii="Consolas" w:hAnsi="Consolas"/>
                <w:sz w:val="18"/>
                <w:shd w:val="clear" w:fill="EEF1F4"/>
              </w:rPr>
              <w:t xml:space="preserve">useStartTls</w:t>
            </w:r>
          </w:p>
        </w:tc>
        <w:tc>
          <w:tcPr>
            <w:tcW w:w="4212" w:type="dxa"/>
            <w:vAlign w:val="center"/>
          </w:tcPr>
          <w:p>
            <w:pPr>
              <w:pStyle w:val="TableCell"/>
            </w:pPr>
            <w:r>
              <w:rPr>
                <w:sz w:val="18"/>
              </w:rPr>
              <w:t xml:space="preserve">the attributes of the same names</w:t>
            </w:r>
          </w:p>
        </w:tc>
      </w:tr>
      <w:tr>
        <w:trPr>
          <w:cantSplit/>
        </w:trPr>
        <w:tc>
          <w:tcPr>
            <w:tcW w:w="5148" w:type="dxa"/>
            <w:shd w:val="clear" w:fill="F2F4F6"/>
            <w:vAlign w:val="center"/>
          </w:tcPr>
          <w:p>
            <w:pPr>
              <w:pStyle w:val="TableCell"/>
            </w:pPr>
            <w:r>
              <w:rPr>
                <w:sz w:val="18"/>
                <w:rFonts w:ascii="Consolas" w:hAnsi="Consolas"/>
                <w:sz w:val="18"/>
                <w:shd w:val="clear" w:fill="EEF1F4"/>
              </w:rPr>
              <w:t xml:space="preserve">toAddress</w:t>
            </w:r>
          </w:p>
        </w:tc>
        <w:tc>
          <w:tcPr>
            <w:tcW w:w="4212" w:type="dxa"/>
            <w:shd w:val="clear" w:fill="F2F4F6"/>
            <w:vAlign w:val="center"/>
          </w:tcPr>
          <w:p>
            <w:pPr>
              <w:pStyle w:val="TableCell"/>
            </w:pPr>
            <w:r>
              <w:rPr>
                <w:sz w:val="18"/>
              </w:rPr>
              <w:t xml:space="preserve">attribute </w:t>
            </w:r>
            <w:r>
              <w:rPr>
                <w:sz w:val="18"/>
                <w:rFonts w:ascii="Consolas" w:hAnsi="Consolas"/>
                <w:sz w:val="18"/>
                <w:shd w:val="clear" w:fill="EEF1F4"/>
              </w:rPr>
              <w:t xml:space="preserve">mailToString</w:t>
            </w:r>
          </w:p>
        </w:tc>
      </w:tr>
      <w:tr>
        <w:trPr>
          <w:cantSplit/>
        </w:trPr>
        <w:tc>
          <w:tcPr>
            <w:tcW w:w="5148" w:type="dxa"/>
            <w:vAlign w:val="center"/>
          </w:tcPr>
          <w:p>
            <w:pPr>
              <w:pStyle w:val="TableCell"/>
            </w:pPr>
            <w:r>
              <w:rPr>
                <w:sz w:val="18"/>
                <w:rFonts w:ascii="Consolas" w:hAnsi="Consolas"/>
                <w:sz w:val="18"/>
                <w:shd w:val="clear" w:fill="EEF1F4"/>
              </w:rPr>
              <w:t xml:space="preserve">subject</w:t>
            </w:r>
          </w:p>
        </w:tc>
        <w:tc>
          <w:tcPr>
            <w:tcW w:w="4212" w:type="dxa"/>
            <w:vAlign w:val="center"/>
          </w:tcPr>
          <w:p>
            <w:pPr>
              <w:pStyle w:val="TableCell"/>
            </w:pPr>
            <w:r>
              <w:rPr>
                <w:sz w:val="18"/>
              </w:rPr>
              <w:t xml:space="preserve">attribute </w:t>
            </w:r>
            <w:r>
              <w:rPr>
                <w:sz w:val="18"/>
                <w:rFonts w:ascii="Consolas" w:hAnsi="Consolas"/>
                <w:sz w:val="18"/>
                <w:shd w:val="clear" w:fill="EEF1F4"/>
              </w:rPr>
              <w:t xml:space="preserve">reportSubject</w:t>
            </w:r>
            <w:r>
              <w:rPr>
                <w:sz w:val="18"/>
              </w:rPr>
              <w:t xml:space="preserve"> (subject stem plus the outcome)</w:t>
            </w:r>
          </w:p>
        </w:tc>
      </w:tr>
      <w:tr>
        <w:trPr>
          <w:cantSplit/>
        </w:trPr>
        <w:tc>
          <w:tcPr>
            <w:tcW w:w="5148" w:type="dxa"/>
            <w:shd w:val="clear" w:fill="F2F4F6"/>
            <w:vAlign w:val="center"/>
          </w:tcPr>
          <w:p>
            <w:pPr>
              <w:pStyle w:val="TableCell"/>
            </w:pPr>
            <w:r>
              <w:rPr>
                <w:sz w:val="18"/>
                <w:rFonts w:ascii="Consolas" w:hAnsi="Consolas"/>
                <w:sz w:val="18"/>
                <w:shd w:val="clear" w:fill="EEF1F4"/>
              </w:rPr>
              <w:t xml:space="preserve">content</w:t>
            </w:r>
          </w:p>
        </w:tc>
        <w:tc>
          <w:tcPr>
            <w:tcW w:w="4212" w:type="dxa"/>
            <w:shd w:val="clear" w:fill="F2F4F6"/>
            <w:vAlign w:val="center"/>
          </w:tcPr>
          <w:p>
            <w:pPr>
              <w:pStyle w:val="TableCell"/>
            </w:pPr>
            <w:r>
              <w:rPr>
                <w:sz w:val="18"/>
              </w:rPr>
              <w:t xml:space="preserve">attribute </w:t>
            </w:r>
            <w:r>
              <w:rPr>
                <w:sz w:val="18"/>
                <w:rFonts w:ascii="Consolas" w:hAnsi="Consolas"/>
                <w:sz w:val="18"/>
                <w:shd w:val="clear" w:fill="EEF1F4"/>
              </w:rPr>
              <w:t xml:space="preserve">reportHtml</w:t>
            </w:r>
          </w:p>
        </w:tc>
      </w:tr>
    </w:tbl>
    <w:p>
      <w:pPr>
        <w:spacing w:after="0"/>
      </w:pPr>
    </w:p>
    <w:p>
      <w:pPr>
        <w:pStyle w:val="BodyText"/>
      </w:pPr>
      <w:r>
        <w:rPr>
          <w:b/>
        </w:rPr>
        <w:t xml:space="preserve">Exception handling:</w:t>
      </w:r>
      <w:r>
        <w:rPr/>
        <w:t xml:space="preserve"> bind the exception to a new string attribute </w:t>
      </w:r>
      <w:r>
        <w:rPr>
          <w:rFonts w:ascii="Consolas" w:hAnsi="Consolas"/>
          <w:sz w:val="18"/>
          <w:shd w:val="clear" w:fill="EEF1F4"/>
        </w:rPr>
        <w:t xml:space="preserve">emailError</w:t>
      </w:r>
      <w:r>
        <w:rPr/>
        <w:t xml:space="preserve"> (default empty), and route it to </w:t>
      </w:r>
      <w:r>
        <w:rPr>
          <w:i/>
        </w:rPr>
        <w:t xml:space="preserve">Closing Summary</w:t>
      </w:r>
      <w:r>
        <w:rPr/>
        <w:t xml:space="preserve">, </w:t>
      </w:r>
      <w:r>
        <w:rPr>
          <w:b/>
        </w:rPr>
        <w:t xml:space="preserve">not</w:t>
      </w:r>
      <w:r>
        <w:rPr/>
        <w:t xml:space="preserve"> to an error end.</w:t>
      </w:r>
    </w:p>
    <w:p>
      <w:pPr>
        <w:pStyle w:val="ListParagraph"/>
        <w:numPr>
          <w:ilvl w:val="0"/>
          <w:numId w:val="2"/>
        </w:numPr>
      </w:pPr>
      <w:r>
        <w:rPr>
          <w:b/>
        </w:rPr>
        <w:t xml:space="preserve">Closing Summary</w:t>
      </w:r>
      <w:r>
        <w:rPr/>
        <w:t xml:space="preserve">, a new scriptable task with the code in </w:t>
      </w:r>
      <w:r>
        <w:rPr>
          <w:rFonts w:ascii="Consolas" w:hAnsi="Consolas"/>
          <w:sz w:val="18"/>
          <w:shd w:val="clear" w:fill="EEF1F4"/>
        </w:rPr>
        <w:t xml:space="preserve">Code/task_ClosingSummary.js</w:t>
      </w:r>
      <w:r>
        <w:rPr/>
        <w:t xml:space="preserve">. IN: </w:t>
      </w:r>
      <w:r>
        <w:rPr>
          <w:rFonts w:ascii="Consolas" w:hAnsi="Consolas"/>
          <w:sz w:val="18"/>
          <w:shd w:val="clear" w:fill="EEF1F4"/>
        </w:rPr>
        <w:t xml:space="preserve">executionSuccess</w:t>
      </w:r>
      <w:r>
        <w:rPr/>
        <w:t xml:space="preserve">, </w:t>
      </w:r>
      <w:r>
        <w:rPr>
          <w:rFonts w:ascii="Consolas" w:hAnsi="Consolas"/>
          <w:sz w:val="18"/>
          <w:shd w:val="clear" w:fill="EEF1F4"/>
        </w:rPr>
        <w:t xml:space="preserve">executionOutput</w:t>
      </w:r>
      <w:r>
        <w:rPr/>
        <w:t xml:space="preserve">, </w:t>
      </w:r>
      <w:r>
        <w:rPr>
          <w:rFonts w:ascii="Consolas" w:hAnsi="Consolas"/>
          <w:sz w:val="18"/>
          <w:shd w:val="clear" w:fill="EEF1F4"/>
        </w:rPr>
        <w:t xml:space="preserve">emailReport</w:t>
      </w:r>
      <w:r>
        <w:rPr/>
        <w:t xml:space="preserve">, </w:t>
      </w:r>
      <w:r>
        <w:rPr>
          <w:rFonts w:ascii="Consolas" w:hAnsi="Consolas"/>
          <w:sz w:val="18"/>
          <w:shd w:val="clear" w:fill="EEF1F4"/>
        </w:rPr>
        <w:t xml:space="preserve">emailError</w:t>
      </w:r>
      <w:r>
        <w:rPr/>
        <w:t xml:space="preserve">, </w:t>
      </w:r>
      <w:r>
        <w:rPr>
          <w:rFonts w:ascii="Consolas" w:hAnsi="Consolas"/>
          <w:sz w:val="18"/>
          <w:shd w:val="clear" w:fill="EEF1F4"/>
        </w:rPr>
        <w:t xml:space="preserve">adGroup</w:t>
      </w:r>
      <w:r>
        <w:rPr/>
        <w:t xml:space="preserve">, </w:t>
      </w:r>
      <w:r>
        <w:rPr>
          <w:rFonts w:ascii="Consolas" w:hAnsi="Consolas"/>
          <w:sz w:val="18"/>
          <w:shd w:val="clear" w:fill="EEF1F4"/>
        </w:rPr>
        <w:t xml:space="preserve">reportOnly</w:t>
      </w:r>
      <w:r>
        <w:rPr/>
        <w:t xml:space="preserve">, </w:t>
      </w:r>
      <w:r>
        <w:rPr>
          <w:rFonts w:ascii="Consolas" w:hAnsi="Consolas"/>
          <w:sz w:val="18"/>
          <w:shd w:val="clear" w:fill="EEF1F4"/>
        </w:rPr>
        <w:t xml:space="preserve">stagedScript</w:t>
      </w:r>
      <w:r>
        <w:rPr/>
        <w:t xml:space="preserve">. OUT: </w:t>
      </w:r>
      <w:r>
        <w:rPr>
          <w:rFonts w:ascii="Consolas" w:hAnsi="Consolas"/>
          <w:sz w:val="18"/>
          <w:shd w:val="clear" w:fill="EEF1F4"/>
        </w:rPr>
        <w:t xml:space="preserve">executionSuccess</w:t>
      </w:r>
      <w:r>
        <w:rPr/>
        <w:t xml:space="preserve">.</w:t>
      </w:r>
    </w:p>
    <w:p>
      <w:pPr>
        <w:pStyle w:val="ListParagraph"/>
        <w:numPr>
          <w:ilvl w:val="0"/>
          <w:numId w:val="2"/>
        </w:numPr>
      </w:pPr>
      <w:r>
        <w:rPr>
          <w:b/>
        </w:rPr>
        <w:t xml:space="preserve">Wiring:</w:t>
      </w:r>
      <w:r>
        <w:rPr/>
        <w:t xml:space="preserve"> </w:t>
      </w:r>
      <w:r>
        <w:rPr>
          <w:i/>
        </w:rPr>
        <w:t xml:space="preserve">Email Report?</w:t>
      </w:r>
      <w:r>
        <w:rPr/>
        <w:t xml:space="preserve"> true → Send notification → Closing Summary; false → Closing Summary; Send notification exception → Closing Summary. Closing Summary → one </w:t>
      </w:r>
      <w:r>
        <w:rPr>
          <w:b/>
        </w:rPr>
        <w:t xml:space="preserve">End</w:t>
      </w:r>
      <w:r>
        <w:rPr/>
        <w:t xml:space="preserve">.</w:t>
      </w:r>
    </w:p>
    <w:p>
      <w:pPr>
        <w:spacing w:after="0"/>
      </w:pPr>
    </w:p>
    <w:p>
      <w:pPr>
        <w:pStyle w:val="BodyText"/>
      </w:pPr>
      <w:r>
        <w:rPr>
          <w:b/>
        </w:rPr>
        <w:t xml:space="preserve">3.3 Parse Results report text.</w:t>
      </w:r>
      <w:r>
        <w:rPr/>
        <w:t xml:space="preserve"> In the Report Only banner, replace </w:t>
      </w:r>
      <w:r>
        <w:rPr>
          <w:rFonts w:ascii="Consolas" w:hAnsi="Consolas"/>
          <w:sz w:val="18"/>
          <w:shd w:val="clear" w:fill="EEF1F4"/>
        </w:rPr>
        <w:t xml:space="preserve">(whatIf = no)</w:t>
      </w:r>
      <w:r>
        <w:rPr/>
        <w:t xml:space="preserve"> with </w:t>
      </w:r>
      <w:r>
        <w:rPr>
          <w:rFonts w:ascii="Consolas" w:hAnsi="Consolas"/>
          <w:sz w:val="18"/>
          <w:shd w:val="clear" w:fill="EEF1F4"/>
        </w:rPr>
        <w:t xml:space="preserve">(Report and Delete)</w:t>
      </w:r>
      <w:r>
        <w:rPr/>
        <w:t xml:space="preserve"> to match the form.</w:t>
      </w:r>
    </w:p>
    <w:p>
      <w:pPr>
        <w:pStyle w:val="BodyText"/>
      </w:pPr>
      <w:r>
        <w:rPr>
          <w:b/>
        </w:rPr>
        <w:t xml:space="preserve">3.4 Request form.</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4118"/>
        <w:gridCol w:w="5242"/>
      </w:tblGrid>
      <w:tr>
        <w:trPr>
          <w:tblHeader/>
          <w:cantSplit/>
        </w:trPr>
        <w:tc>
          <w:tcPr>
            <w:tcW w:w="4118" w:type="dxa"/>
            <w:shd w:val="clear" w:fill="1F5C8B"/>
            <w:vAlign w:val="center"/>
          </w:tcPr>
          <w:p>
            <w:pPr>
              <w:pStyle w:val="TableCell"/>
            </w:pPr>
            <w:r>
              <w:rPr>
                <w:b/>
                <w:color w:val="FFFFFF"/>
                <w:sz w:val="17"/>
              </w:rPr>
              <w:t xml:space="preserve">Field</w:t>
            </w:r>
          </w:p>
        </w:tc>
        <w:tc>
          <w:tcPr>
            <w:tcW w:w="5242" w:type="dxa"/>
            <w:shd w:val="clear" w:fill="1F5C8B"/>
            <w:vAlign w:val="center"/>
          </w:tcPr>
          <w:p>
            <w:pPr>
              <w:pStyle w:val="TableCell"/>
            </w:pPr>
            <w:r>
              <w:rPr>
                <w:b/>
                <w:color w:val="FFFFFF"/>
                <w:sz w:val="17"/>
              </w:rPr>
              <w:t xml:space="preserve">Change</w:t>
            </w:r>
          </w:p>
        </w:tc>
      </w:tr>
      <w:tr>
        <w:trPr>
          <w:cantSplit/>
        </w:trPr>
        <w:tc>
          <w:tcPr>
            <w:tcW w:w="4118" w:type="dxa"/>
            <w:vAlign w:val="center"/>
          </w:tcPr>
          <w:p>
            <w:pPr>
              <w:pStyle w:val="TableCell"/>
            </w:pPr>
            <w:r>
              <w:rPr>
                <w:sz w:val="18"/>
                <w:rFonts w:ascii="Consolas" w:hAnsi="Consolas"/>
                <w:sz w:val="18"/>
                <w:shd w:val="clear" w:fill="EEF1F4"/>
              </w:rPr>
              <w:t xml:space="preserve">targetPath</w:t>
            </w:r>
          </w:p>
        </w:tc>
        <w:tc>
          <w:tcPr>
            <w:tcW w:w="5242" w:type="dxa"/>
            <w:vAlign w:val="center"/>
          </w:tcPr>
          <w:p>
            <w:pPr>
              <w:pStyle w:val="TableCell"/>
            </w:pPr>
            <w:r>
              <w:rPr>
                <w:sz w:val="18"/>
              </w:rPr>
              <w:t xml:space="preserve">Label: </w:t>
            </w:r>
            <w:r>
              <w:rPr>
                <w:sz w:val="18"/>
                <w:i/>
              </w:rPr>
              <w:t xml:space="preserve">Script directory on the PowerShell host (local path)</w:t>
            </w:r>
            <w:r>
              <w:rPr>
                <w:sz w:val="18"/>
              </w:rPr>
              <w:t xml:space="preserve">. Input description: </w:t>
            </w:r>
            <w:r>
              <w:rPr>
                <w:sz w:val="18"/>
                <w:i/>
              </w:rPr>
              <w:t xml:space="preserve">Local directory, e.g. C:\PSO\Scripts</w:t>
            </w:r>
            <w:r>
              <w:rPr>
                <w:sz w:val="18"/>
              </w:rPr>
              <w:t xml:space="preserve">. It is not a UNC path or a file name</w:t>
            </w:r>
          </w:p>
        </w:tc>
      </w:tr>
      <w:tr>
        <w:trPr>
          <w:cantSplit/>
        </w:trPr>
        <w:tc>
          <w:tcPr>
            <w:tcW w:w="4118" w:type="dxa"/>
            <w:shd w:val="clear" w:fill="F2F4F6"/>
            <w:vAlign w:val="center"/>
          </w:tcPr>
          <w:p>
            <w:pPr>
              <w:pStyle w:val="TableCell"/>
            </w:pPr>
            <w:r>
              <w:rPr>
                <w:sz w:val="18"/>
                <w:rFonts w:ascii="Consolas" w:hAnsi="Consolas"/>
                <w:sz w:val="18"/>
                <w:shd w:val="clear" w:fill="EEF1F4"/>
              </w:rPr>
              <w:t xml:space="preserve">olderThanDays</w:t>
            </w:r>
          </w:p>
        </w:tc>
        <w:tc>
          <w:tcPr>
            <w:tcW w:w="5242" w:type="dxa"/>
            <w:shd w:val="clear" w:fill="F2F4F6"/>
            <w:vAlign w:val="center"/>
          </w:tcPr>
          <w:p>
            <w:pPr>
              <w:pStyle w:val="TableCell"/>
            </w:pPr>
            <w:r>
              <w:rPr>
                <w:sz w:val="18"/>
              </w:rPr>
              <w:t xml:space="preserve">Display type </w:t>
            </w:r>
            <w:r>
              <w:rPr>
                <w:sz w:val="18"/>
                <w:b/>
              </w:rPr>
              <w:t xml:space="preserve">Integer</w:t>
            </w:r>
            <w:r>
              <w:rPr>
                <w:sz w:val="18"/>
              </w:rPr>
              <w:t xml:space="preserve"> (fractions are refused at run time)</w:t>
            </w:r>
          </w:p>
        </w:tc>
      </w:tr>
      <w:tr>
        <w:trPr>
          <w:cantSplit/>
        </w:trPr>
        <w:tc>
          <w:tcPr>
            <w:tcW w:w="4118" w:type="dxa"/>
            <w:vAlign w:val="center"/>
          </w:tcPr>
          <w:p>
            <w:pPr>
              <w:pStyle w:val="TableCell"/>
            </w:pPr>
            <w:r>
              <w:rPr>
                <w:sz w:val="18"/>
                <w:rFonts w:ascii="Consolas" w:hAnsi="Consolas"/>
                <w:sz w:val="18"/>
                <w:shd w:val="clear" w:fill="EEF1F4"/>
              </w:rPr>
              <w:t xml:space="preserve">fileFilter</w:t>
            </w:r>
          </w:p>
        </w:tc>
        <w:tc>
          <w:tcPr>
            <w:tcW w:w="5242" w:type="dxa"/>
            <w:vAlign w:val="center"/>
          </w:tcPr>
          <w:p>
            <w:pPr>
              <w:pStyle w:val="TableCell"/>
            </w:pPr>
            <w:r>
              <w:rPr>
                <w:sz w:val="18"/>
              </w:rPr>
              <w:t xml:space="preserve">Label: </w:t>
            </w:r>
            <w:r>
              <w:rPr>
                <w:sz w:val="18"/>
                <w:i/>
              </w:rPr>
              <w:t xml:space="preserve">Delete files matching (wildcards supported)</w:t>
            </w:r>
            <w:r>
              <w:rPr>
                <w:sz w:val="18"/>
              </w:rPr>
              <w:t xml:space="preserve">. Help: </w:t>
            </w:r>
            <w:r>
              <w:rPr>
                <w:sz w:val="18"/>
                <w:i/>
              </w:rPr>
              <w:t xml:space="preserve">Applies to files only. Folders are deleted only with `</w:t>
            </w:r>
            <w:r>
              <w:rPr>
                <w:sz w:val="18"/>
                <w:rFonts w:ascii="Consolas" w:hAnsi="Consolas"/>
                <w:sz w:val="18"/>
                <w:shd w:val="clear" w:fill="EEF1F4"/>
              </w:rPr>
              <w:t xml:space="preserve"> or </w:t>
            </w:r>
            <w:r>
              <w:rPr>
                <w:sz w:val="18"/>
                <w:i/>
              </w:rPr>
              <w:t xml:space="preserve">.</w:t>
            </w:r>
            <w:r>
              <w:rPr>
                <w:sz w:val="18"/>
              </w:rPr>
              <w:t xml:space="preserve">` and "Delete read-only items".*</w:t>
            </w:r>
          </w:p>
        </w:tc>
      </w:tr>
      <w:tr>
        <w:trPr>
          <w:cantSplit/>
        </w:trPr>
        <w:tc>
          <w:tcPr>
            <w:tcW w:w="4118" w:type="dxa"/>
            <w:shd w:val="clear" w:fill="F2F4F6"/>
            <w:vAlign w:val="center"/>
          </w:tcPr>
          <w:p>
            <w:pPr>
              <w:pStyle w:val="TableCell"/>
            </w:pPr>
            <w:r>
              <w:rPr>
                <w:sz w:val="18"/>
                <w:rFonts w:ascii="Consolas" w:hAnsi="Consolas"/>
                <w:sz w:val="18"/>
                <w:shd w:val="clear" w:fill="EEF1F4"/>
              </w:rPr>
              <w:t xml:space="preserve">folderIncluded</w:t>
            </w:r>
          </w:p>
        </w:tc>
        <w:tc>
          <w:tcPr>
            <w:tcW w:w="5242" w:type="dxa"/>
            <w:shd w:val="clear" w:fill="F2F4F6"/>
            <w:vAlign w:val="center"/>
          </w:tcPr>
          <w:p>
            <w:pPr>
              <w:pStyle w:val="TableCell"/>
            </w:pPr>
            <w:r>
              <w:rPr>
                <w:sz w:val="18"/>
              </w:rPr>
              <w:t xml:space="preserve">Label: </w:t>
            </w:r>
            <w:r>
              <w:rPr>
                <w:sz w:val="18"/>
                <w:i/>
              </w:rPr>
              <w:t xml:space="preserve">Delete folders as well?</w:t>
            </w:r>
            <w:r>
              <w:rPr>
                <w:sz w:val="18"/>
              </w:rPr>
              <w:t xml:space="preserve">. Help: the folder rule, as above</w:t>
            </w:r>
          </w:p>
        </w:tc>
      </w:tr>
      <w:tr>
        <w:trPr>
          <w:cantSplit/>
        </w:trPr>
        <w:tc>
          <w:tcPr>
            <w:tcW w:w="4118" w:type="dxa"/>
            <w:vAlign w:val="center"/>
          </w:tcPr>
          <w:p>
            <w:pPr>
              <w:pStyle w:val="TableCell"/>
            </w:pPr>
            <w:r>
              <w:rPr>
                <w:sz w:val="18"/>
                <w:rFonts w:ascii="Consolas" w:hAnsi="Consolas"/>
                <w:sz w:val="18"/>
                <w:shd w:val="clear" w:fill="EEF1F4"/>
              </w:rPr>
              <w:t xml:space="preserve">distinguishedName</w:t>
            </w:r>
            <w:r>
              <w:rPr>
                <w:sz w:val="18"/>
              </w:rPr>
              <w:t xml:space="preserve">, </w:t>
            </w:r>
            <w:r>
              <w:rPr>
                <w:sz w:val="18"/>
                <w:rFonts w:ascii="Consolas" w:hAnsi="Consolas"/>
                <w:sz w:val="18"/>
                <w:shd w:val="clear" w:fill="EEF1F4"/>
              </w:rPr>
              <w:t xml:space="preserve">folderTarget</w:t>
            </w:r>
            <w:r>
              <w:rPr>
                <w:sz w:val="18"/>
              </w:rPr>
              <w:t xml:space="preserve">, </w:t>
            </w:r>
            <w:r>
              <w:rPr>
                <w:sz w:val="18"/>
                <w:rFonts w:ascii="Consolas" w:hAnsi="Consolas"/>
                <w:sz w:val="18"/>
                <w:shd w:val="clear" w:fill="EEF1F4"/>
              </w:rPr>
              <w:t xml:space="preserve">fileFilter</w:t>
            </w:r>
            <w:r>
              <w:rPr>
                <w:sz w:val="18"/>
              </w:rPr>
              <w:t xml:space="preserve">, </w:t>
            </w:r>
            <w:r>
              <w:rPr>
                <w:sz w:val="18"/>
                <w:rFonts w:ascii="Consolas" w:hAnsi="Consolas"/>
                <w:sz w:val="18"/>
                <w:shd w:val="clear" w:fill="EEF1F4"/>
              </w:rPr>
              <w:t xml:space="preserve">reportOnly</w:t>
            </w:r>
            <w:r>
              <w:rPr>
                <w:sz w:val="18"/>
              </w:rPr>
              <w:t xml:space="preserve">, </w:t>
            </w:r>
            <w:r>
              <w:rPr>
                <w:sz w:val="18"/>
                <w:rFonts w:ascii="Consolas" w:hAnsi="Consolas"/>
                <w:sz w:val="18"/>
                <w:shd w:val="clear" w:fill="EEF1F4"/>
              </w:rPr>
              <w:t xml:space="preserve">olderThanDays</w:t>
            </w:r>
            <w:r>
              <w:rPr>
                <w:sz w:val="18"/>
              </w:rPr>
              <w:t xml:space="preserve">, </w:t>
            </w:r>
            <w:r>
              <w:rPr>
                <w:sz w:val="18"/>
                <w:rFonts w:ascii="Consolas" w:hAnsi="Consolas"/>
                <w:sz w:val="18"/>
                <w:shd w:val="clear" w:fill="EEF1F4"/>
              </w:rPr>
              <w:t xml:space="preserve">targetPath</w:t>
            </w:r>
          </w:p>
        </w:tc>
        <w:tc>
          <w:tcPr>
            <w:tcW w:w="5242" w:type="dxa"/>
            <w:vAlign w:val="center"/>
          </w:tcPr>
          <w:p>
            <w:pPr>
              <w:pStyle w:val="TableCell"/>
            </w:pPr>
            <w:r>
              <w:rPr>
                <w:sz w:val="18"/>
              </w:rPr>
              <w:t xml:space="preserve">Mark </w:t>
            </w:r>
            <w:r>
              <w:rPr>
                <w:sz w:val="18"/>
                <w:b/>
              </w:rPr>
              <w:t xml:space="preserve">required</w:t>
            </w:r>
          </w:p>
        </w:tc>
      </w:tr>
      <w:tr>
        <w:trPr>
          <w:cantSplit/>
        </w:trPr>
        <w:tc>
          <w:tcPr>
            <w:tcW w:w="4118" w:type="dxa"/>
            <w:shd w:val="clear" w:fill="F2F4F6"/>
            <w:vAlign w:val="center"/>
          </w:tcPr>
          <w:p>
            <w:pPr>
              <w:pStyle w:val="TableCell"/>
            </w:pPr>
            <w:r>
              <w:rPr>
                <w:sz w:val="18"/>
              </w:rPr>
              <w:t xml:space="preserve">Defaults</w:t>
            </w:r>
          </w:p>
        </w:tc>
        <w:tc>
          <w:tcPr>
            <w:tcW w:w="5242" w:type="dxa"/>
            <w:shd w:val="clear" w:fill="F2F4F6"/>
            <w:vAlign w:val="center"/>
          </w:tcPr>
          <w:p>
            <w:pPr>
              <w:pStyle w:val="TableCell"/>
            </w:pPr>
            <w:r>
              <w:rPr>
                <w:sz w:val="18"/>
              </w:rPr>
              <w:t xml:space="preserve">See §6</w:t>
            </w:r>
          </w:p>
        </w:tc>
      </w:tr>
    </w:tbl>
    <w:p>
      <w:pPr>
        <w:spacing w:after="0"/>
      </w:pPr>
    </w:p>
    <w:p>
      <w:pPr>
        <w:pStyle w:val="Heading1"/>
      </w:pPr>
      <w:r>
        <w:rPr/>
        <w:t xml:space="preserve">4. Load the script into the Resource Element</w:t>
      </w:r>
    </w:p>
    <w:p>
      <w:pPr>
        <w:pStyle w:val="ListParagraph"/>
        <w:numPr>
          <w:ilvl w:val="0"/>
          <w:numId w:val="2"/>
        </w:numPr>
      </w:pPr>
      <w:r>
        <w:rPr>
          <w:b/>
        </w:rPr>
        <w:t xml:space="preserve">Assets → Resources</w:t>
      </w:r>
      <w:r>
        <w:rPr/>
        <w:t xml:space="preserve">, and open (or import) the element bound to </w:t>
      </w:r>
      <w:r>
        <w:rPr>
          <w:rFonts w:ascii="Consolas" w:hAnsi="Consolas"/>
          <w:sz w:val="18"/>
          <w:shd w:val="clear" w:fill="EEF1F4"/>
        </w:rPr>
        <w:t xml:space="preserve">scriptElement</w:t>
      </w:r>
      <w:r>
        <w:rPr/>
        <w:t xml:space="preserve">.</w:t>
      </w:r>
    </w:p>
    <w:p>
      <w:pPr>
        <w:pStyle w:val="ListParagraph"/>
        <w:numPr>
          <w:ilvl w:val="0"/>
          <w:numId w:val="2"/>
        </w:numPr>
      </w:pPr>
      <w:r>
        <w:rPr/>
        <w:t xml:space="preserve">Load </w:t>
      </w:r>
      <w:r>
        <w:rPr>
          <w:b/>
          <w:rFonts w:ascii="Consolas" w:hAnsi="Consolas"/>
          <w:sz w:val="18"/>
          <w:shd w:val="clear" w:fill="EEF1F4"/>
        </w:rPr>
        <w:t xml:space="preserve">Code/Invoke-ServerDiskClean.ps1</w:t>
      </w:r>
      <w:r>
        <w:rPr/>
        <w:t xml:space="preserve">, the fully commented source. No stripped build is needed: the script crosses WinRM only when it changes.</w:t>
      </w:r>
    </w:p>
    <w:p>
      <w:pPr>
        <w:pStyle w:val="ListParagraph"/>
        <w:numPr>
          <w:ilvl w:val="0"/>
          <w:numId w:val="2"/>
        </w:numPr>
      </w:pPr>
      <w:r>
        <w:rPr/>
        <w:t xml:space="preserve">The element's </w:t>
      </w:r>
      <w:r>
        <w:rPr>
          <w:b/>
        </w:rPr>
        <w:t xml:space="preserve">name must be exactly </w:t>
      </w:r>
      <w:r>
        <w:rPr>
          <w:b/>
          <w:rFonts w:ascii="Consolas" w:hAnsi="Consolas"/>
          <w:sz w:val="18"/>
          <w:shd w:val="clear" w:fill="EEF1F4"/>
        </w:rPr>
        <w:t xml:space="preserve">Invoke-ServerDiskClean.ps1</w:t>
      </w:r>
      <w:r>
        <w:rPr>
          <w:b/>
        </w:rPr>
        <w:t xml:space="preserve">.</w:t>
      </w:r>
      <w:r>
        <w:rPr/>
        <w:t xml:space="preserve"> The name becomes the file name on the host. A name that is not a plain </w:t>
      </w:r>
      <w:r>
        <w:rPr>
          <w:rFonts w:ascii="Consolas" w:hAnsi="Consolas"/>
          <w:sz w:val="18"/>
          <w:shd w:val="clear" w:fill="EEF1F4"/>
        </w:rPr>
        <w:t xml:space="preserve">.ps1</w:t>
      </w:r>
      <w:r>
        <w:rPr/>
        <w:t xml:space="preserve"> file name is refused.</w:t>
      </w:r>
    </w:p>
    <w:p>
      <w:pPr>
        <w:pStyle w:val="ListParagraph"/>
        <w:numPr>
          <w:ilvl w:val="0"/>
          <w:numId w:val="2"/>
        </w:numPr>
      </w:pPr>
      <w:r>
        <w:rPr/>
        <w:t xml:space="preserve">Keep the file </w:t>
      </w:r>
      <w:r>
        <w:rPr>
          <w:b/>
        </w:rPr>
        <w:t xml:space="preserve">ASCII-only</w:t>
      </w:r>
      <w:r>
        <w:rPr/>
        <w:t xml:space="preserve"> and saved as UTF-8.</w:t>
      </w:r>
    </w:p>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0"/>
            </w:pPr>
            <w:r>
              <w:rPr/>
              <w:t xml:space="preserve">After </w:t>
            </w:r>
            <w:r>
              <w:rPr>
                <w:b/>
              </w:rPr>
              <w:t xml:space="preserve">any</w:t>
            </w:r>
            <w:r>
              <w:rPr/>
              <w:t xml:space="preserve"> change to the script, re-import it. The next run logs </w:t>
            </w:r>
            <w:r>
              <w:rPr>
                <w:rFonts w:ascii="Consolas" w:hAnsi="Consolas"/>
                <w:sz w:val="18"/>
                <w:shd w:val="clear" w:fill="EEF1F4"/>
              </w:rPr>
              <w:t xml:space="preserve">stageScriptOnHost | ... does NOT match ... Overwriting it</w:t>
            </w:r>
            <w:r>
              <w:rPr/>
              <w:t xml:space="preserve">, then </w:t>
            </w:r>
            <w:r>
              <w:rPr>
                <w:rFonts w:ascii="Consolas" w:hAnsi="Consolas"/>
                <w:sz w:val="18"/>
                <w:shd w:val="clear" w:fill="EEF1F4"/>
              </w:rPr>
              <w:t xml:space="preserve">updated</w:t>
            </w:r>
            <w:r>
              <w:rPr/>
              <w:t xml:space="preserve">.</w:t>
            </w:r>
          </w:p>
        </w:tc>
      </w:tr>
    </w:tbl>
    <w:p>
      <w:pPr>
        <w:spacing w:after="0"/>
      </w:pPr>
    </w:p>
    <w:p>
      <w:pPr>
        <w:pStyle w:val="Heading1"/>
      </w:pPr>
      <w:r>
        <w:rPr/>
        <w:t xml:space="preserve">5. Re-point the workflow attributes (most important step)</w:t>
      </w:r>
    </w:p>
    <w:p>
      <w:pPr>
        <w:pStyle w:val="BodyText"/>
      </w:pPr>
      <w:r>
        <w:rPr/>
        <w:t xml:space="preserve">Open </w:t>
      </w:r>
      <w:r>
        <w:rPr>
          <w:b/>
        </w:rPr>
        <w:t xml:space="preserve">Windows Server Disk Cleans → Edit → Variables</w:t>
      </w:r>
      <w:r>
        <w:rPr/>
        <w:t xml:space="preserve"> and set:</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340"/>
        <w:gridCol w:w="3463"/>
        <w:gridCol w:w="3557"/>
      </w:tblGrid>
      <w:tr>
        <w:trPr>
          <w:tblHeader/>
          <w:cantSplit/>
        </w:trPr>
        <w:tc>
          <w:tcPr>
            <w:tcW w:w="2340" w:type="dxa"/>
            <w:shd w:val="clear" w:fill="1F5C8B"/>
            <w:vAlign w:val="center"/>
          </w:tcPr>
          <w:p>
            <w:pPr>
              <w:pStyle w:val="TableCell"/>
            </w:pPr>
            <w:r>
              <w:rPr>
                <w:b/>
                <w:color w:val="FFFFFF"/>
                <w:sz w:val="17"/>
              </w:rPr>
              <w:t xml:space="preserve">Attribute</w:t>
            </w:r>
          </w:p>
        </w:tc>
        <w:tc>
          <w:tcPr>
            <w:tcW w:w="3463" w:type="dxa"/>
            <w:shd w:val="clear" w:fill="1F5C8B"/>
            <w:vAlign w:val="center"/>
          </w:tcPr>
          <w:p>
            <w:pPr>
              <w:pStyle w:val="TableCell"/>
            </w:pPr>
            <w:r>
              <w:rPr>
                <w:b/>
                <w:color w:val="FFFFFF"/>
                <w:sz w:val="17"/>
              </w:rPr>
              <w:t xml:space="preserve">Set to</w:t>
            </w:r>
          </w:p>
        </w:tc>
        <w:tc>
          <w:tcPr>
            <w:tcW w:w="3557" w:type="dxa"/>
            <w:shd w:val="clear" w:fill="1F5C8B"/>
            <w:vAlign w:val="center"/>
          </w:tcPr>
          <w:p>
            <w:pPr>
              <w:pStyle w:val="TableCell"/>
            </w:pPr>
            <w:r>
              <w:rPr>
                <w:b/>
                <w:color w:val="FFFFFF"/>
                <w:sz w:val="17"/>
              </w:rPr>
              <w:t xml:space="preserve">Build-environment value</w:t>
            </w:r>
          </w:p>
        </w:tc>
      </w:tr>
      <w:tr>
        <w:trPr>
          <w:cantSplit/>
        </w:trPr>
        <w:tc>
          <w:tcPr>
            <w:tcW w:w="2340" w:type="dxa"/>
            <w:vAlign w:val="center"/>
          </w:tcPr>
          <w:p>
            <w:pPr>
              <w:pStyle w:val="TableCell"/>
            </w:pPr>
            <w:r>
              <w:rPr>
                <w:sz w:val="18"/>
                <w:rFonts w:ascii="Consolas" w:hAnsi="Consolas"/>
                <w:sz w:val="18"/>
                <w:shd w:val="clear" w:fill="EEF1F4"/>
              </w:rPr>
              <w:t xml:space="preserve">psHosts</w:t>
            </w:r>
          </w:p>
        </w:tc>
        <w:tc>
          <w:tcPr>
            <w:tcW w:w="3463" w:type="dxa"/>
            <w:vAlign w:val="center"/>
          </w:tcPr>
          <w:p>
            <w:pPr>
              <w:pStyle w:val="TableCell"/>
            </w:pPr>
            <w:r>
              <w:rPr>
                <w:sz w:val="18"/>
                <w:b/>
              </w:rPr>
              <w:t xml:space="preserve">Your PowerShell host object(s)</w:t>
            </w:r>
          </w:p>
        </w:tc>
        <w:tc>
          <w:tcPr>
            <w:tcW w:w="3557" w:type="dxa"/>
            <w:vAlign w:val="center"/>
          </w:tcPr>
          <w:p>
            <w:pPr>
              <w:pStyle w:val="TableCell"/>
            </w:pPr>
            <w:r>
              <w:rPr>
                <w:sz w:val="18"/>
              </w:rPr>
              <w:t xml:space="preserve">one host, id </w:t>
            </w:r>
            <w:r>
              <w:rPr>
                <w:sz w:val="18"/>
                <w:rFonts w:ascii="Consolas" w:hAnsi="Consolas"/>
                <w:sz w:val="18"/>
                <w:shd w:val="clear" w:fill="EEF1F4"/>
              </w:rPr>
              <w:t xml:space="preserve">0c675c7a-137b-40c3-af36-6f36223dfa59</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scriptElement</w:t>
            </w:r>
          </w:p>
        </w:tc>
        <w:tc>
          <w:tcPr>
            <w:tcW w:w="3463" w:type="dxa"/>
            <w:shd w:val="clear" w:fill="F2F4F6"/>
            <w:vAlign w:val="center"/>
          </w:tcPr>
          <w:p>
            <w:pPr>
              <w:pStyle w:val="TableCell"/>
            </w:pPr>
            <w:r>
              <w:rPr>
                <w:sz w:val="18"/>
              </w:rPr>
              <w:t xml:space="preserve">The </w:t>
            </w:r>
            <w:r>
              <w:rPr>
                <w:sz w:val="18"/>
                <w:rFonts w:ascii="Consolas" w:hAnsi="Consolas"/>
                <w:sz w:val="18"/>
                <w:shd w:val="clear" w:fill="EEF1F4"/>
              </w:rPr>
              <w:t xml:space="preserve">Invoke-ServerDiskClean.ps1</w:t>
            </w:r>
            <w:r>
              <w:rPr>
                <w:sz w:val="18"/>
              </w:rPr>
              <w:t xml:space="preserve"> element from §4</w:t>
            </w:r>
          </w:p>
        </w:tc>
        <w:tc>
          <w:tcPr>
            <w:tcW w:w="3557" w:type="dxa"/>
            <w:shd w:val="clear" w:fill="F2F4F6"/>
            <w:vAlign w:val="center"/>
          </w:tcPr>
          <w:p>
            <w:pPr>
              <w:pStyle w:val="TableCell"/>
            </w:pPr>
            <w:r>
              <w:rPr>
                <w:sz w:val="18"/>
              </w:rPr>
              <w:t xml:space="preserve">id </w:t>
            </w:r>
            <w:r>
              <w:rPr>
                <w:sz w:val="18"/>
                <w:rFonts w:ascii="Consolas" w:hAnsi="Consolas"/>
                <w:sz w:val="18"/>
                <w:shd w:val="clear" w:fill="EEF1F4"/>
              </w:rPr>
              <w:t xml:space="preserve">5fc71d56-a5c4-4dd3-8489-72f91b38e845</w:t>
            </w:r>
          </w:p>
        </w:tc>
      </w:tr>
      <w:tr>
        <w:trPr>
          <w:cantSplit/>
        </w:trPr>
        <w:tc>
          <w:tcPr>
            <w:tcW w:w="2340" w:type="dxa"/>
            <w:vAlign w:val="center"/>
          </w:tcPr>
          <w:p>
            <w:pPr>
              <w:pStyle w:val="TableCell"/>
            </w:pPr>
            <w:r>
              <w:rPr>
                <w:sz w:val="18"/>
                <w:rFonts w:ascii="Consolas" w:hAnsi="Consolas"/>
                <w:sz w:val="18"/>
                <w:shd w:val="clear" w:fill="EEF1F4"/>
              </w:rPr>
              <w:t xml:space="preserve">maxItemsListed</w:t>
            </w:r>
          </w:p>
        </w:tc>
        <w:tc>
          <w:tcPr>
            <w:tcW w:w="3463" w:type="dxa"/>
            <w:vAlign w:val="center"/>
          </w:tcPr>
          <w:p>
            <w:pPr>
              <w:pStyle w:val="TableCell"/>
            </w:pPr>
            <w:r>
              <w:rPr>
                <w:sz w:val="18"/>
              </w:rPr>
              <w:t xml:space="preserve">Items named per folder per server in the log</w:t>
            </w:r>
          </w:p>
        </w:tc>
        <w:tc>
          <w:tcPr>
            <w:tcW w:w="3557" w:type="dxa"/>
            <w:vAlign w:val="center"/>
          </w:tcPr>
          <w:p>
            <w:pPr>
              <w:pStyle w:val="TableCell"/>
            </w:pPr>
            <w:r>
              <w:rPr>
                <w:sz w:val="18"/>
                <w:rFonts w:ascii="Consolas" w:hAnsi="Consolas"/>
                <w:sz w:val="18"/>
                <w:shd w:val="clear" w:fill="EEF1F4"/>
              </w:rPr>
              <w:t xml:space="preserve">25</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smtpHost</w:t>
            </w:r>
          </w:p>
        </w:tc>
        <w:tc>
          <w:tcPr>
            <w:tcW w:w="3463" w:type="dxa"/>
            <w:shd w:val="clear" w:fill="F2F4F6"/>
            <w:vAlign w:val="center"/>
          </w:tcPr>
          <w:p>
            <w:pPr>
              <w:pStyle w:val="TableCell"/>
            </w:pPr>
            <w:r>
              <w:rPr>
                <w:sz w:val="18"/>
              </w:rPr>
              <w:t xml:space="preserve">Your relay (blank = </w:t>
            </w:r>
            <w:r>
              <w:rPr>
                <w:sz w:val="18"/>
                <w:i/>
              </w:rPr>
              <w:t xml:space="preserve">Configure mail</w:t>
            </w:r>
            <w:r>
              <w:rPr>
                <w:sz w:val="18"/>
              </w:rPr>
              <w:t xml:space="preserve"> default)</w:t>
            </w:r>
          </w:p>
        </w:tc>
        <w:tc>
          <w:tcPr>
            <w:tcW w:w="3557" w:type="dxa"/>
            <w:shd w:val="clear" w:fill="F2F4F6"/>
            <w:vAlign w:val="center"/>
          </w:tcPr>
          <w:p>
            <w:pPr>
              <w:pStyle w:val="TableCell"/>
            </w:pPr>
            <w:r>
              <w:rPr>
                <w:sz w:val="18"/>
                <w:rFonts w:ascii="Consolas" w:hAnsi="Consolas"/>
                <w:sz w:val="18"/>
                <w:shd w:val="clear" w:fill="EEF1F4"/>
              </w:rPr>
              <w:t xml:space="preserve">mail.vcf.lab</w:t>
            </w:r>
          </w:p>
        </w:tc>
      </w:tr>
      <w:tr>
        <w:trPr>
          <w:cantSplit/>
        </w:trPr>
        <w:tc>
          <w:tcPr>
            <w:tcW w:w="2340" w:type="dxa"/>
            <w:vAlign w:val="center"/>
          </w:tcPr>
          <w:p>
            <w:pPr>
              <w:pStyle w:val="TableCell"/>
            </w:pPr>
            <w:r>
              <w:rPr>
                <w:sz w:val="18"/>
                <w:rFonts w:ascii="Consolas" w:hAnsi="Consolas"/>
                <w:sz w:val="18"/>
                <w:shd w:val="clear" w:fill="EEF1F4"/>
              </w:rPr>
              <w:t xml:space="preserve">smtpPort</w:t>
            </w:r>
          </w:p>
        </w:tc>
        <w:tc>
          <w:tcPr>
            <w:tcW w:w="3463" w:type="dxa"/>
            <w:vAlign w:val="center"/>
          </w:tcPr>
          <w:p>
            <w:pPr>
              <w:pStyle w:val="TableCell"/>
            </w:pPr>
            <w:r>
              <w:rPr>
                <w:sz w:val="18"/>
              </w:rPr>
              <w:t xml:space="preserve">Relay port (</w:t>
            </w:r>
            <w:r>
              <w:rPr>
                <w:sz w:val="18"/>
                <w:rFonts w:ascii="Consolas" w:hAnsi="Consolas"/>
                <w:sz w:val="18"/>
                <w:shd w:val="clear" w:fill="EEF1F4"/>
              </w:rPr>
              <w:t xml:space="preserve">0</w:t>
            </w:r>
            <w:r>
              <w:rPr>
                <w:sz w:val="18"/>
              </w:rPr>
              <w:t xml:space="preserve"> = default)</w:t>
            </w:r>
          </w:p>
        </w:tc>
        <w:tc>
          <w:tcPr>
            <w:tcW w:w="3557" w:type="dxa"/>
            <w:vAlign w:val="center"/>
          </w:tcPr>
          <w:p>
            <w:pPr>
              <w:pStyle w:val="TableCell"/>
            </w:pPr>
            <w:r>
              <w:rPr>
                <w:sz w:val="18"/>
                <w:rFonts w:ascii="Consolas" w:hAnsi="Consolas"/>
                <w:sz w:val="18"/>
                <w:shd w:val="clear" w:fill="EEF1F4"/>
              </w:rPr>
              <w:t xml:space="preserve">587</w:t>
            </w:r>
            <w:r>
              <w:rPr>
                <w:sz w:val="18"/>
              </w:rPr>
              <w:t xml:space="preserve"> (lab) — production today is </w:t>
            </w:r>
            <w:r>
              <w:rPr>
                <w:sz w:val="18"/>
                <w:b/>
              </w:rPr>
              <w:t xml:space="preserve">25</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useStartTls</w:t>
            </w:r>
          </w:p>
        </w:tc>
        <w:tc>
          <w:tcPr>
            <w:tcW w:w="3463" w:type="dxa"/>
            <w:shd w:val="clear" w:fill="F2F4F6"/>
            <w:vAlign w:val="center"/>
          </w:tcPr>
          <w:p>
            <w:pPr>
              <w:pStyle w:val="TableCell"/>
            </w:pPr>
            <w:r>
              <w:rPr>
                <w:sz w:val="18"/>
              </w:rPr>
              <w:t xml:space="preserve">Must match the relay port's security mode</w:t>
            </w:r>
          </w:p>
        </w:tc>
        <w:tc>
          <w:tcPr>
            <w:tcW w:w="3557" w:type="dxa"/>
            <w:shd w:val="clear" w:fill="F2F4F6"/>
            <w:vAlign w:val="center"/>
          </w:tcPr>
          <w:p>
            <w:pPr>
              <w:pStyle w:val="TableCell"/>
            </w:pPr>
            <w:r>
              <w:rPr>
                <w:sz w:val="18"/>
                <w:rFonts w:ascii="Consolas" w:hAnsi="Consolas"/>
                <w:sz w:val="18"/>
                <w:shd w:val="clear" w:fill="EEF1F4"/>
              </w:rPr>
              <w:t xml:space="preserve">true</w:t>
            </w:r>
            <w:r>
              <w:rPr>
                <w:sz w:val="18"/>
              </w:rPr>
              <w:t xml:space="preserve"> (lab) — production today is </w:t>
            </w:r>
            <w:r>
              <w:rPr>
                <w:sz w:val="18"/>
                <w:b/>
              </w:rPr>
              <w:t xml:space="preserve">false</w:t>
            </w:r>
          </w:p>
        </w:tc>
      </w:tr>
      <w:tr>
        <w:trPr>
          <w:cantSplit/>
        </w:trPr>
        <w:tc>
          <w:tcPr>
            <w:tcW w:w="2340" w:type="dxa"/>
            <w:vAlign w:val="center"/>
          </w:tcPr>
          <w:p>
            <w:pPr>
              <w:pStyle w:val="TableCell"/>
            </w:pPr>
            <w:r>
              <w:rPr>
                <w:sz w:val="18"/>
                <w:rFonts w:ascii="Consolas" w:hAnsi="Consolas"/>
                <w:sz w:val="18"/>
                <w:shd w:val="clear" w:fill="EEF1F4"/>
              </w:rPr>
              <w:t xml:space="preserve">username</w:t>
            </w:r>
            <w:r>
              <w:rPr>
                <w:sz w:val="18"/>
              </w:rPr>
              <w:t xml:space="preserve">, </w:t>
            </w:r>
            <w:r>
              <w:rPr>
                <w:sz w:val="18"/>
                <w:rFonts w:ascii="Consolas" w:hAnsi="Consolas"/>
                <w:sz w:val="18"/>
                <w:shd w:val="clear" w:fill="EEF1F4"/>
              </w:rPr>
              <w:t xml:space="preserve">password</w:t>
            </w:r>
          </w:p>
        </w:tc>
        <w:tc>
          <w:tcPr>
            <w:tcW w:w="3463" w:type="dxa"/>
            <w:vAlign w:val="center"/>
          </w:tcPr>
          <w:p>
            <w:pPr>
              <w:pStyle w:val="TableCell"/>
            </w:pPr>
            <w:r>
              <w:rPr>
                <w:sz w:val="18"/>
              </w:rPr>
              <w:t xml:space="preserve">Only if the relay requires SMTP AUTH</w:t>
            </w:r>
          </w:p>
        </w:tc>
        <w:tc>
          <w:tcPr>
            <w:tcW w:w="3557" w:type="dxa"/>
            <w:vAlign w:val="center"/>
          </w:tcPr>
          <w:p>
            <w:pPr>
              <w:pStyle w:val="TableCell"/>
            </w:pPr>
            <w:r>
              <w:rPr>
                <w:sz w:val="18"/>
              </w:rPr>
              <w:t xml:space="preserve">empty</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fromName</w:t>
            </w:r>
          </w:p>
        </w:tc>
        <w:tc>
          <w:tcPr>
            <w:tcW w:w="3463" w:type="dxa"/>
            <w:shd w:val="clear" w:fill="F2F4F6"/>
            <w:vAlign w:val="center"/>
          </w:tcPr>
          <w:p>
            <w:pPr>
              <w:pStyle w:val="TableCell"/>
            </w:pPr>
            <w:r>
              <w:rPr>
                <w:sz w:val="18"/>
              </w:rPr>
              <w:t xml:space="preserve">Display name, e.g. </w:t>
            </w:r>
            <w:r>
              <w:rPr>
                <w:sz w:val="18"/>
                <w:rFonts w:ascii="Consolas" w:hAnsi="Consolas"/>
                <w:sz w:val="18"/>
                <w:shd w:val="clear" w:fill="EEF1F4"/>
              </w:rPr>
              <w:t xml:space="preserve">Infrastructure Monitoring</w:t>
            </w:r>
          </w:p>
        </w:tc>
        <w:tc>
          <w:tcPr>
            <w:tcW w:w="3557" w:type="dxa"/>
            <w:shd w:val="clear" w:fill="F2F4F6"/>
            <w:vAlign w:val="center"/>
          </w:tcPr>
          <w:p>
            <w:pPr>
              <w:pStyle w:val="TableCell"/>
            </w:pPr>
            <w:r>
              <w:rPr>
                <w:sz w:val="18"/>
                <w:rFonts w:ascii="Consolas" w:hAnsi="Consolas"/>
                <w:sz w:val="18"/>
                <w:shd w:val="clear" w:fill="EEF1F4"/>
              </w:rPr>
              <w:t xml:space="preserve">no-reply-infmonitoring@vcf.lab</w:t>
            </w:r>
          </w:p>
        </w:tc>
      </w:tr>
      <w:tr>
        <w:trPr>
          <w:cantSplit/>
        </w:trPr>
        <w:tc>
          <w:tcPr>
            <w:tcW w:w="2340" w:type="dxa"/>
            <w:vAlign w:val="center"/>
          </w:tcPr>
          <w:p>
            <w:pPr>
              <w:pStyle w:val="TableCell"/>
            </w:pPr>
            <w:r>
              <w:rPr>
                <w:sz w:val="18"/>
                <w:rFonts w:ascii="Consolas" w:hAnsi="Consolas"/>
                <w:sz w:val="18"/>
                <w:shd w:val="clear" w:fill="EEF1F4"/>
              </w:rPr>
              <w:t xml:space="preserve">fromAddress</w:t>
            </w:r>
          </w:p>
        </w:tc>
        <w:tc>
          <w:tcPr>
            <w:tcW w:w="3463" w:type="dxa"/>
            <w:vAlign w:val="center"/>
          </w:tcPr>
          <w:p>
            <w:pPr>
              <w:pStyle w:val="TableCell"/>
            </w:pPr>
            <w:r>
              <w:rPr>
                <w:sz w:val="18"/>
              </w:rPr>
              <w:t xml:space="preserve">Sender address the relay accepts</w:t>
            </w:r>
          </w:p>
        </w:tc>
        <w:tc>
          <w:tcPr>
            <w:tcW w:w="3557" w:type="dxa"/>
            <w:vAlign w:val="center"/>
          </w:tcPr>
          <w:p>
            <w:pPr>
              <w:pStyle w:val="TableCell"/>
            </w:pPr>
            <w:r>
              <w:rPr>
                <w:sz w:val="18"/>
                <w:rFonts w:ascii="Consolas" w:hAnsi="Consolas"/>
                <w:sz w:val="18"/>
                <w:shd w:val="clear" w:fill="EEF1F4"/>
              </w:rPr>
              <w:t xml:space="preserve">no-reply-infmonitoring@vcf.lab</w:t>
            </w:r>
          </w:p>
        </w:tc>
      </w:tr>
    </w:tbl>
    <w:p>
      <w:pPr>
        <w:spacing w:after="0"/>
      </w:pPr>
    </w:p>
    <w:p>
      <w:pPr>
        <w:pStyle w:val="BodyText"/>
      </w:pPr>
      <w:r>
        <w:rPr/>
        <w:t xml:space="preserve">List in </w:t>
      </w:r>
      <w:r>
        <w:rPr>
          <w:rFonts w:ascii="Consolas" w:hAnsi="Consolas"/>
          <w:sz w:val="18"/>
          <w:shd w:val="clear" w:fill="EEF1F4"/>
        </w:rPr>
        <w:t xml:space="preserve">psHosts</w:t>
      </w:r>
      <w:r>
        <w:rPr/>
        <w:t xml:space="preserve"> only hosts whose account can reach </w:t>
      </w:r>
      <w:r>
        <w:rPr>
          <w:b/>
        </w:rPr>
        <w:t xml:space="preserve">these</w:t>
      </w:r>
      <w:r>
        <w:rPr/>
        <w:t xml:space="preserve"> targets (local admin + delegation). The workflow picks the least busy of them and does not check domains.</w:t>
      </w:r>
    </w:p>
    <w:p>
      <w:pPr>
        <w:pStyle w:val="Heading1"/>
      </w:pPr>
      <w:r>
        <w:rPr/>
        <w:t xml:space="preserve">6. Request form defaults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463"/>
        <w:gridCol w:w="5897"/>
      </w:tblGrid>
      <w:tr>
        <w:trPr>
          <w:tblHeader/>
          <w:cantSplit/>
        </w:trPr>
        <w:tc>
          <w:tcPr>
            <w:tcW w:w="3463" w:type="dxa"/>
            <w:shd w:val="clear" w:fill="1F5C8B"/>
            <w:vAlign w:val="center"/>
          </w:tcPr>
          <w:p>
            <w:pPr>
              <w:pStyle w:val="TableCell"/>
            </w:pPr>
            <w:r>
              <w:rPr>
                <w:b/>
                <w:color w:val="FFFFFF"/>
                <w:sz w:val="17"/>
              </w:rPr>
              <w:t xml:space="preserve">Field</w:t>
            </w:r>
          </w:p>
        </w:tc>
        <w:tc>
          <w:tcPr>
            <w:tcW w:w="5897" w:type="dxa"/>
            <w:shd w:val="clear" w:fill="1F5C8B"/>
            <w:vAlign w:val="center"/>
          </w:tcPr>
          <w:p>
            <w:pPr>
              <w:pStyle w:val="TableCell"/>
            </w:pPr>
            <w:r>
              <w:rPr>
                <w:b/>
                <w:color w:val="FFFFFF"/>
                <w:sz w:val="17"/>
              </w:rPr>
              <w:t xml:space="preserve">Default</w:t>
            </w:r>
          </w:p>
        </w:tc>
      </w:tr>
      <w:tr>
        <w:trPr>
          <w:cantSplit/>
        </w:trPr>
        <w:tc>
          <w:tcPr>
            <w:tcW w:w="3463" w:type="dxa"/>
            <w:vAlign w:val="center"/>
          </w:tcPr>
          <w:p>
            <w:pPr>
              <w:pStyle w:val="TableCell"/>
            </w:pPr>
            <w:r>
              <w:rPr>
                <w:sz w:val="18"/>
                <w:rFonts w:ascii="Consolas" w:hAnsi="Consolas"/>
                <w:sz w:val="18"/>
                <w:shd w:val="clear" w:fill="EEF1F4"/>
              </w:rPr>
              <w:t xml:space="preserve">folderTarget</w:t>
            </w:r>
          </w:p>
        </w:tc>
        <w:tc>
          <w:tcPr>
            <w:tcW w:w="5897" w:type="dxa"/>
            <w:vAlign w:val="center"/>
          </w:tcPr>
          <w:p>
            <w:pPr>
              <w:pStyle w:val="TableCell"/>
            </w:pPr>
            <w:r>
              <w:rPr>
                <w:sz w:val="18"/>
                <w:rFonts w:ascii="Consolas" w:hAnsi="Consolas"/>
                <w:sz w:val="18"/>
                <w:shd w:val="clear" w:fill="EEF1F4"/>
              </w:rPr>
              <w:t xml:space="preserve">c:\Windows\ccmcache</w:t>
            </w:r>
          </w:p>
        </w:tc>
      </w:tr>
      <w:tr>
        <w:trPr>
          <w:cantSplit/>
        </w:trPr>
        <w:tc>
          <w:tcPr>
            <w:tcW w:w="3463" w:type="dxa"/>
            <w:shd w:val="clear" w:fill="F2F4F6"/>
            <w:vAlign w:val="center"/>
          </w:tcPr>
          <w:p>
            <w:pPr>
              <w:pStyle w:val="TableCell"/>
            </w:pPr>
            <w:r>
              <w:rPr>
                <w:sz w:val="18"/>
                <w:rFonts w:ascii="Consolas" w:hAnsi="Consolas"/>
                <w:sz w:val="18"/>
                <w:shd w:val="clear" w:fill="EEF1F4"/>
              </w:rPr>
              <w:t xml:space="preserve">fileFilter</w:t>
            </w:r>
          </w:p>
        </w:tc>
        <w:tc>
          <w:tcPr>
            <w:tcW w:w="5897" w:type="dxa"/>
            <w:shd w:val="clear" w:fill="F2F4F6"/>
            <w:vAlign w:val="center"/>
          </w:tcPr>
          <w:p>
            <w:pPr>
              <w:pStyle w:val="TableCell"/>
            </w:pPr>
            <w:r>
              <w:rPr>
                <w:sz w:val="18"/>
                <w:rFonts w:ascii="Consolas" w:hAnsi="Consolas"/>
                <w:sz w:val="18"/>
                <w:shd w:val="clear" w:fill="EEF1F4"/>
              </w:rPr>
              <w:t xml:space="preserve">*.*</w:t>
            </w:r>
          </w:p>
        </w:tc>
      </w:tr>
      <w:tr>
        <w:trPr>
          <w:cantSplit/>
        </w:trPr>
        <w:tc>
          <w:tcPr>
            <w:tcW w:w="3463" w:type="dxa"/>
            <w:vAlign w:val="center"/>
          </w:tcPr>
          <w:p>
            <w:pPr>
              <w:pStyle w:val="TableCell"/>
            </w:pPr>
            <w:r>
              <w:rPr>
                <w:sz w:val="18"/>
                <w:rFonts w:ascii="Consolas" w:hAnsi="Consolas"/>
                <w:sz w:val="18"/>
                <w:shd w:val="clear" w:fill="EEF1F4"/>
              </w:rPr>
              <w:t xml:space="preserve">reportOnly</w:t>
            </w:r>
          </w:p>
        </w:tc>
        <w:tc>
          <w:tcPr>
            <w:tcW w:w="5897" w:type="dxa"/>
            <w:vAlign w:val="center"/>
          </w:tcPr>
          <w:p>
            <w:pPr>
              <w:pStyle w:val="TableCell"/>
            </w:pPr>
            <w:r>
              <w:rPr>
                <w:sz w:val="18"/>
                <w:rFonts w:ascii="Consolas" w:hAnsi="Consolas"/>
                <w:sz w:val="18"/>
                <w:shd w:val="clear" w:fill="EEF1F4"/>
              </w:rPr>
              <w:t xml:space="preserve">yes</w:t>
            </w:r>
            <w:r>
              <w:rPr>
                <w:sz w:val="18"/>
              </w:rPr>
              <w:t xml:space="preserve"> (Report Only)</w:t>
            </w:r>
          </w:p>
        </w:tc>
      </w:tr>
      <w:tr>
        <w:trPr>
          <w:cantSplit/>
        </w:trPr>
        <w:tc>
          <w:tcPr>
            <w:tcW w:w="3463" w:type="dxa"/>
            <w:shd w:val="clear" w:fill="F2F4F6"/>
            <w:vAlign w:val="center"/>
          </w:tcPr>
          <w:p>
            <w:pPr>
              <w:pStyle w:val="TableCell"/>
            </w:pPr>
            <w:r>
              <w:rPr>
                <w:sz w:val="18"/>
                <w:rFonts w:ascii="Consolas" w:hAnsi="Consolas"/>
                <w:sz w:val="18"/>
                <w:shd w:val="clear" w:fill="EEF1F4"/>
              </w:rPr>
              <w:t xml:space="preserve">olderThanDays</w:t>
            </w:r>
          </w:p>
        </w:tc>
        <w:tc>
          <w:tcPr>
            <w:tcW w:w="5897" w:type="dxa"/>
            <w:shd w:val="clear" w:fill="F2F4F6"/>
            <w:vAlign w:val="center"/>
          </w:tcPr>
          <w:p>
            <w:pPr>
              <w:pStyle w:val="TableCell"/>
            </w:pPr>
            <w:r>
              <w:rPr>
                <w:sz w:val="18"/>
                <w:rFonts w:ascii="Consolas" w:hAnsi="Consolas"/>
                <w:sz w:val="18"/>
                <w:shd w:val="clear" w:fill="EEF1F4"/>
              </w:rPr>
              <w:t xml:space="preserve">1</w:t>
            </w:r>
          </w:p>
        </w:tc>
      </w:tr>
      <w:tr>
        <w:trPr>
          <w:cantSplit/>
        </w:trPr>
        <w:tc>
          <w:tcPr>
            <w:tcW w:w="3463" w:type="dxa"/>
            <w:vAlign w:val="center"/>
          </w:tcPr>
          <w:p>
            <w:pPr>
              <w:pStyle w:val="TableCell"/>
            </w:pPr>
            <w:r>
              <w:rPr>
                <w:sz w:val="18"/>
                <w:rFonts w:ascii="Consolas" w:hAnsi="Consolas"/>
                <w:sz w:val="18"/>
                <w:shd w:val="clear" w:fill="EEF1F4"/>
              </w:rPr>
              <w:t xml:space="preserve">folderIncluded</w:t>
            </w:r>
          </w:p>
        </w:tc>
        <w:tc>
          <w:tcPr>
            <w:tcW w:w="5897" w:type="dxa"/>
            <w:vAlign w:val="center"/>
          </w:tcPr>
          <w:p>
            <w:pPr>
              <w:pStyle w:val="TableCell"/>
            </w:pPr>
            <w:r>
              <w:rPr>
                <w:sz w:val="18"/>
              </w:rPr>
              <w:t xml:space="preserve">unchecked</w:t>
            </w:r>
          </w:p>
        </w:tc>
      </w:tr>
      <w:tr>
        <w:trPr>
          <w:cantSplit/>
        </w:trPr>
        <w:tc>
          <w:tcPr>
            <w:tcW w:w="3463" w:type="dxa"/>
            <w:shd w:val="clear" w:fill="F2F4F6"/>
            <w:vAlign w:val="center"/>
          </w:tcPr>
          <w:p>
            <w:pPr>
              <w:pStyle w:val="TableCell"/>
            </w:pPr>
            <w:r>
              <w:rPr>
                <w:sz w:val="18"/>
                <w:rFonts w:ascii="Consolas" w:hAnsi="Consolas"/>
                <w:sz w:val="18"/>
                <w:shd w:val="clear" w:fill="EEF1F4"/>
              </w:rPr>
              <w:t xml:space="preserve">forceEnable</w:t>
            </w:r>
          </w:p>
        </w:tc>
        <w:tc>
          <w:tcPr>
            <w:tcW w:w="5897" w:type="dxa"/>
            <w:shd w:val="clear" w:fill="F2F4F6"/>
            <w:vAlign w:val="center"/>
          </w:tcPr>
          <w:p>
            <w:pPr>
              <w:pStyle w:val="TableCell"/>
            </w:pPr>
            <w:r>
              <w:rPr>
                <w:sz w:val="18"/>
              </w:rPr>
              <w:t xml:space="preserve">unchecked</w:t>
            </w:r>
          </w:p>
        </w:tc>
      </w:tr>
      <w:tr>
        <w:trPr>
          <w:cantSplit/>
        </w:trPr>
        <w:tc>
          <w:tcPr>
            <w:tcW w:w="3463" w:type="dxa"/>
            <w:vAlign w:val="center"/>
          </w:tcPr>
          <w:p>
            <w:pPr>
              <w:pStyle w:val="TableCell"/>
            </w:pPr>
            <w:r>
              <w:rPr>
                <w:sz w:val="18"/>
                <w:rFonts w:ascii="Consolas" w:hAnsi="Consolas"/>
                <w:sz w:val="18"/>
                <w:shd w:val="clear" w:fill="EEF1F4"/>
              </w:rPr>
              <w:t xml:space="preserve">emailReport</w:t>
            </w:r>
          </w:p>
        </w:tc>
        <w:tc>
          <w:tcPr>
            <w:tcW w:w="5897" w:type="dxa"/>
            <w:vAlign w:val="center"/>
          </w:tcPr>
          <w:p>
            <w:pPr>
              <w:pStyle w:val="TableCell"/>
            </w:pPr>
            <w:r>
              <w:rPr>
                <w:sz w:val="18"/>
              </w:rPr>
              <w:t xml:space="preserve">checked</w:t>
            </w:r>
          </w:p>
        </w:tc>
      </w:tr>
      <w:tr>
        <w:trPr>
          <w:cantSplit/>
        </w:trPr>
        <w:tc>
          <w:tcPr>
            <w:tcW w:w="3463" w:type="dxa"/>
            <w:shd w:val="clear" w:fill="F2F4F6"/>
            <w:vAlign w:val="center"/>
          </w:tcPr>
          <w:p>
            <w:pPr>
              <w:pStyle w:val="TableCell"/>
            </w:pPr>
            <w:r>
              <w:rPr>
                <w:sz w:val="18"/>
                <w:rFonts w:ascii="Consolas" w:hAnsi="Consolas"/>
                <w:sz w:val="18"/>
                <w:shd w:val="clear" w:fill="EEF1F4"/>
              </w:rPr>
              <w:t xml:space="preserve">mailTo</w:t>
            </w:r>
          </w:p>
        </w:tc>
        <w:tc>
          <w:tcPr>
            <w:tcW w:w="5897" w:type="dxa"/>
            <w:shd w:val="clear" w:fill="F2F4F6"/>
            <w:vAlign w:val="center"/>
          </w:tcPr>
          <w:p>
            <w:pPr>
              <w:pStyle w:val="TableCell"/>
            </w:pPr>
            <w:r>
              <w:rPr>
                <w:sz w:val="18"/>
              </w:rPr>
              <w:t xml:space="preserve">The team distribution list</w:t>
            </w:r>
          </w:p>
        </w:tc>
      </w:tr>
      <w:tr>
        <w:trPr>
          <w:cantSplit/>
        </w:trPr>
        <w:tc>
          <w:tcPr>
            <w:tcW w:w="3463" w:type="dxa"/>
            <w:vAlign w:val="center"/>
          </w:tcPr>
          <w:p>
            <w:pPr>
              <w:pStyle w:val="TableCell"/>
            </w:pPr>
            <w:r>
              <w:rPr>
                <w:sz w:val="18"/>
                <w:rFonts w:ascii="Consolas" w:hAnsi="Consolas"/>
                <w:sz w:val="18"/>
                <w:shd w:val="clear" w:fill="EEF1F4"/>
              </w:rPr>
              <w:t xml:space="preserve">mailSubject</w:t>
            </w:r>
          </w:p>
        </w:tc>
        <w:tc>
          <w:tcPr>
            <w:tcW w:w="5897" w:type="dxa"/>
            <w:vAlign w:val="center"/>
          </w:tcPr>
          <w:p>
            <w:pPr>
              <w:pStyle w:val="TableCell"/>
            </w:pPr>
            <w:r>
              <w:rPr>
                <w:sz w:val="18"/>
                <w:rFonts w:ascii="Consolas" w:hAnsi="Consolas"/>
                <w:sz w:val="18"/>
                <w:shd w:val="clear" w:fill="EEF1F4"/>
              </w:rPr>
              <w:t xml:space="preserve">VCF Orchestrator: Windows Server Disk Clean</w:t>
            </w:r>
          </w:p>
        </w:tc>
      </w:tr>
      <w:tr>
        <w:trPr>
          <w:cantSplit/>
        </w:trPr>
        <w:tc>
          <w:tcPr>
            <w:tcW w:w="3463" w:type="dxa"/>
            <w:shd w:val="clear" w:fill="F2F4F6"/>
            <w:vAlign w:val="center"/>
          </w:tcPr>
          <w:p>
            <w:pPr>
              <w:pStyle w:val="TableCell"/>
            </w:pPr>
            <w:r>
              <w:rPr>
                <w:sz w:val="18"/>
                <w:rFonts w:ascii="Consolas" w:hAnsi="Consolas"/>
                <w:sz w:val="18"/>
                <w:shd w:val="clear" w:fill="EEF1F4"/>
              </w:rPr>
              <w:t xml:space="preserve">targetPath</w:t>
            </w:r>
          </w:p>
        </w:tc>
        <w:tc>
          <w:tcPr>
            <w:tcW w:w="5897" w:type="dxa"/>
            <w:shd w:val="clear" w:fill="F2F4F6"/>
            <w:vAlign w:val="center"/>
          </w:tcPr>
          <w:p>
            <w:pPr>
              <w:pStyle w:val="TableCell"/>
            </w:pPr>
            <w:r>
              <w:rPr>
                <w:sz w:val="18"/>
                <w:rFonts w:ascii="Consolas" w:hAnsi="Consolas"/>
                <w:sz w:val="18"/>
                <w:shd w:val="clear" w:fill="EEF1F4"/>
              </w:rPr>
              <w:t xml:space="preserve">C:\PSO\Scripts</w:t>
            </w:r>
          </w:p>
        </w:tc>
      </w:tr>
    </w:tbl>
    <w:p>
      <w:pPr>
        <w:spacing w:after="0"/>
      </w:pPr>
    </w:p>
    <w:p>
      <w:pPr>
        <w:pStyle w:val="Heading2"/>
      </w:pPr>
      <w:r>
        <w:rPr/>
        <w:t xml:space="preserve">Production template values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685"/>
        <w:gridCol w:w="1778"/>
        <w:gridCol w:w="1404"/>
        <w:gridCol w:w="1498"/>
        <w:gridCol w:w="1591"/>
        <w:gridCol w:w="1404"/>
      </w:tblGrid>
      <w:tr>
        <w:trPr>
          <w:tblHeader/>
          <w:cantSplit/>
        </w:trPr>
        <w:tc>
          <w:tcPr>
            <w:tcW w:w="1685" w:type="dxa"/>
            <w:shd w:val="clear" w:fill="1F5C8B"/>
            <w:vAlign w:val="center"/>
          </w:tcPr>
          <w:p>
            <w:pPr>
              <w:pStyle w:val="TableCell"/>
            </w:pPr>
            <w:r>
              <w:rPr>
                <w:b/>
                <w:color w:val="FFFFFF"/>
                <w:sz w:val="17"/>
              </w:rPr>
              <w:t xml:space="preserve">Template</w:t>
            </w:r>
          </w:p>
        </w:tc>
        <w:tc>
          <w:tcPr>
            <w:tcW w:w="1778" w:type="dxa"/>
            <w:shd w:val="clear" w:fill="1F5C8B"/>
            <w:vAlign w:val="center"/>
          </w:tcPr>
          <w:p>
            <w:pPr>
              <w:pStyle w:val="TableCell"/>
            </w:pPr>
            <w:r>
              <w:rPr>
                <w:b/>
                <w:color w:val="FFFFFF"/>
                <w:sz w:val="17"/>
                <w:rFonts w:ascii="Consolas" w:hAnsi="Consolas"/>
                <w:sz w:val="18"/>
                <w:shd w:val="clear" w:fill="EEF1F4"/>
              </w:rPr>
              <w:t xml:space="preserve">folderTarget</w:t>
            </w:r>
          </w:p>
        </w:tc>
        <w:tc>
          <w:tcPr>
            <w:tcW w:w="1404" w:type="dxa"/>
            <w:shd w:val="clear" w:fill="1F5C8B"/>
            <w:vAlign w:val="center"/>
          </w:tcPr>
          <w:p>
            <w:pPr>
              <w:pStyle w:val="TableCell"/>
            </w:pPr>
            <w:r>
              <w:rPr>
                <w:b/>
                <w:color w:val="FFFFFF"/>
                <w:sz w:val="17"/>
                <w:rFonts w:ascii="Consolas" w:hAnsi="Consolas"/>
                <w:sz w:val="18"/>
                <w:shd w:val="clear" w:fill="EEF1F4"/>
              </w:rPr>
              <w:t xml:space="preserve">fileFilter</w:t>
            </w:r>
          </w:p>
        </w:tc>
        <w:tc>
          <w:tcPr>
            <w:tcW w:w="1498" w:type="dxa"/>
            <w:shd w:val="clear" w:fill="1F5C8B"/>
            <w:vAlign w:val="center"/>
          </w:tcPr>
          <w:p>
            <w:pPr>
              <w:pStyle w:val="TableCell"/>
            </w:pPr>
            <w:r>
              <w:rPr>
                <w:b/>
                <w:color w:val="FFFFFF"/>
                <w:sz w:val="17"/>
                <w:rFonts w:ascii="Consolas" w:hAnsi="Consolas"/>
                <w:sz w:val="18"/>
                <w:shd w:val="clear" w:fill="EEF1F4"/>
              </w:rPr>
              <w:t xml:space="preserve">olderThanDays</w:t>
            </w:r>
          </w:p>
        </w:tc>
        <w:tc>
          <w:tcPr>
            <w:tcW w:w="1591" w:type="dxa"/>
            <w:shd w:val="clear" w:fill="1F5C8B"/>
            <w:vAlign w:val="center"/>
          </w:tcPr>
          <w:p>
            <w:pPr>
              <w:pStyle w:val="TableCell"/>
            </w:pPr>
            <w:r>
              <w:rPr>
                <w:b/>
                <w:color w:val="FFFFFF"/>
                <w:sz w:val="17"/>
                <w:rFonts w:ascii="Consolas" w:hAnsi="Consolas"/>
                <w:sz w:val="18"/>
                <w:shd w:val="clear" w:fill="EEF1F4"/>
              </w:rPr>
              <w:t xml:space="preserve">folderIncluded</w:t>
            </w:r>
          </w:p>
        </w:tc>
        <w:tc>
          <w:tcPr>
            <w:tcW w:w="1404" w:type="dxa"/>
            <w:shd w:val="clear" w:fill="1F5C8B"/>
            <w:vAlign w:val="center"/>
          </w:tcPr>
          <w:p>
            <w:pPr>
              <w:pStyle w:val="TableCell"/>
            </w:pPr>
            <w:r>
              <w:rPr>
                <w:b/>
                <w:color w:val="FFFFFF"/>
                <w:sz w:val="17"/>
                <w:rFonts w:ascii="Consolas" w:hAnsi="Consolas"/>
                <w:sz w:val="18"/>
                <w:shd w:val="clear" w:fill="EEF1F4"/>
              </w:rPr>
              <w:t xml:space="preserve">forceEnable</w:t>
            </w:r>
          </w:p>
        </w:tc>
      </w:tr>
      <w:tr>
        <w:trPr>
          <w:cantSplit/>
        </w:trPr>
        <w:tc>
          <w:tcPr>
            <w:tcW w:w="1685" w:type="dxa"/>
            <w:vAlign w:val="center"/>
          </w:tcPr>
          <w:p>
            <w:pPr>
              <w:pStyle w:val="TableCell"/>
            </w:pPr>
            <w:r>
              <w:rPr>
                <w:sz w:val="18"/>
              </w:rPr>
              <w:t xml:space="preserve">Cache cleanup (6)</w:t>
            </w:r>
          </w:p>
        </w:tc>
        <w:tc>
          <w:tcPr>
            <w:tcW w:w="1778" w:type="dxa"/>
            <w:vAlign w:val="center"/>
          </w:tcPr>
          <w:p>
            <w:pPr>
              <w:pStyle w:val="TableCell"/>
            </w:pPr>
            <w:r>
              <w:rPr>
                <w:sz w:val="18"/>
                <w:rFonts w:ascii="Consolas" w:hAnsi="Consolas"/>
                <w:sz w:val="18"/>
                <w:shd w:val="clear" w:fill="EEF1F4"/>
              </w:rPr>
              <w:t xml:space="preserve">c:\Windows\ccmcache</w:t>
            </w:r>
          </w:p>
        </w:tc>
        <w:tc>
          <w:tcPr>
            <w:tcW w:w="1404" w:type="dxa"/>
            <w:vAlign w:val="center"/>
          </w:tcPr>
          <w:p>
            <w:pPr>
              <w:pStyle w:val="TableCell"/>
            </w:pPr>
            <w:r>
              <w:rPr>
                <w:sz w:val="18"/>
                <w:rFonts w:ascii="Consolas" w:hAnsi="Consolas"/>
                <w:sz w:val="18"/>
                <w:shd w:val="clear" w:fill="EEF1F4"/>
              </w:rPr>
              <w:t xml:space="preserve">*.*</w:t>
            </w:r>
          </w:p>
        </w:tc>
        <w:tc>
          <w:tcPr>
            <w:tcW w:w="1498" w:type="dxa"/>
            <w:vAlign w:val="center"/>
          </w:tcPr>
          <w:p>
            <w:pPr>
              <w:pStyle w:val="TableCell"/>
            </w:pPr>
            <w:r>
              <w:rPr>
                <w:sz w:val="18"/>
                <w:rFonts w:ascii="Consolas" w:hAnsi="Consolas"/>
                <w:sz w:val="18"/>
                <w:shd w:val="clear" w:fill="EEF1F4"/>
              </w:rPr>
              <w:t xml:space="preserve">1</w:t>
            </w:r>
          </w:p>
        </w:tc>
        <w:tc>
          <w:tcPr>
            <w:tcW w:w="1591" w:type="dxa"/>
            <w:vAlign w:val="center"/>
          </w:tcPr>
          <w:p>
            <w:pPr>
              <w:pStyle w:val="TableCell"/>
            </w:pPr>
            <w:r>
              <w:rPr>
                <w:sz w:val="18"/>
              </w:rPr>
              <w:t xml:space="preserve">checked</w:t>
            </w:r>
          </w:p>
        </w:tc>
        <w:tc>
          <w:tcPr>
            <w:tcW w:w="1404" w:type="dxa"/>
            <w:vAlign w:val="center"/>
          </w:tcPr>
          <w:p>
            <w:pPr>
              <w:pStyle w:val="TableCell"/>
            </w:pPr>
            <w:r>
              <w:rPr>
                <w:sz w:val="18"/>
                <w:b/>
              </w:rPr>
              <w:t xml:space="preserve">decision</w:t>
            </w:r>
          </w:p>
        </w:tc>
      </w:tr>
      <w:tr>
        <w:trPr>
          <w:cantSplit/>
        </w:trPr>
        <w:tc>
          <w:tcPr>
            <w:tcW w:w="1685" w:type="dxa"/>
            <w:shd w:val="clear" w:fill="F2F4F6"/>
            <w:vAlign w:val="center"/>
          </w:tcPr>
          <w:p>
            <w:pPr>
              <w:pStyle w:val="TableCell"/>
            </w:pPr>
            <w:r>
              <w:rPr>
                <w:sz w:val="18"/>
              </w:rPr>
              <w:t xml:space="preserve">Profile cleanup (2)</w:t>
            </w:r>
          </w:p>
        </w:tc>
        <w:tc>
          <w:tcPr>
            <w:tcW w:w="1778" w:type="dxa"/>
            <w:shd w:val="clear" w:fill="F2F4F6"/>
            <w:vAlign w:val="center"/>
          </w:tcPr>
          <w:p>
            <w:pPr>
              <w:pStyle w:val="TableCell"/>
            </w:pPr>
            <w:r>
              <w:rPr>
                <w:sz w:val="18"/>
                <w:rFonts w:ascii="Consolas" w:hAnsi="Consolas"/>
                <w:sz w:val="18"/>
                <w:shd w:val="clear" w:fill="EEF1F4"/>
              </w:rPr>
              <w:t xml:space="preserve">c:\users</w:t>
            </w:r>
          </w:p>
        </w:tc>
        <w:tc>
          <w:tcPr>
            <w:tcW w:w="1404" w:type="dxa"/>
            <w:shd w:val="clear" w:fill="F2F4F6"/>
            <w:vAlign w:val="center"/>
          </w:tcPr>
          <w:p>
            <w:pPr>
              <w:pStyle w:val="TableCell"/>
            </w:pPr>
            <w:r>
              <w:rPr>
                <w:sz w:val="18"/>
                <w:rFonts w:ascii="Consolas" w:hAnsi="Consolas"/>
                <w:sz w:val="18"/>
                <w:shd w:val="clear" w:fill="EEF1F4"/>
              </w:rPr>
              <w:t xml:space="preserve">*.*</w:t>
            </w:r>
          </w:p>
        </w:tc>
        <w:tc>
          <w:tcPr>
            <w:tcW w:w="1498" w:type="dxa"/>
            <w:shd w:val="clear" w:fill="F2F4F6"/>
            <w:vAlign w:val="center"/>
          </w:tcPr>
          <w:p>
            <w:pPr>
              <w:pStyle w:val="TableCell"/>
            </w:pPr>
            <w:r>
              <w:rPr>
                <w:sz w:val="18"/>
                <w:rFonts w:ascii="Consolas" w:hAnsi="Consolas"/>
                <w:sz w:val="18"/>
                <w:shd w:val="clear" w:fill="EEF1F4"/>
              </w:rPr>
              <w:t xml:space="preserve">0</w:t>
            </w:r>
          </w:p>
        </w:tc>
        <w:tc>
          <w:tcPr>
            <w:tcW w:w="1591" w:type="dxa"/>
            <w:shd w:val="clear" w:fill="F2F4F6"/>
            <w:vAlign w:val="center"/>
          </w:tcPr>
          <w:p>
            <w:pPr>
              <w:pStyle w:val="TableCell"/>
            </w:pPr>
            <w:r>
              <w:rPr>
                <w:sz w:val="18"/>
              </w:rPr>
              <w:t xml:space="preserve">checked</w:t>
            </w:r>
          </w:p>
        </w:tc>
        <w:tc>
          <w:tcPr>
            <w:tcW w:w="1404" w:type="dxa"/>
            <w:shd w:val="clear" w:fill="F2F4F6"/>
            <w:vAlign w:val="center"/>
          </w:tcPr>
          <w:p>
            <w:pPr>
              <w:pStyle w:val="TableCell"/>
            </w:pPr>
            <w:r>
              <w:rPr>
                <w:sz w:val="18"/>
              </w:rPr>
              <w:t xml:space="preserve">checked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Cache templates</w:t>
            </w:r>
          </w:p>
          <w:p>
            <w:pPr>
              <w:spacing w:after="0"/>
            </w:pPr>
            <w:r>
              <w:rPr/>
              <w:t xml:space="preserve">with </w:t>
            </w:r>
            <w:r>
              <w:rPr>
                <w:rFonts w:ascii="Consolas" w:hAnsi="Consolas"/>
                <w:sz w:val="18"/>
                <w:shd w:val="clear" w:fill="EEF1F4"/>
              </w:rPr>
              <w:t xml:space="preserve">forceEnable</w:t>
            </w:r>
            <w:r>
              <w:rPr/>
              <w:t xml:space="preserve"> unchecked, folder deletion is declined and only files are cleaned; the cache's package folders stay. Tick </w:t>
            </w:r>
            <w:r>
              <w:rPr>
                <w:rFonts w:ascii="Consolas" w:hAnsi="Consolas"/>
                <w:sz w:val="18"/>
                <w:shd w:val="clear" w:fill="EEF1F4"/>
              </w:rPr>
              <w:t xml:space="preserve">forceEnable</w:t>
            </w:r>
            <w:r>
              <w:rPr/>
              <w:t xml:space="preserve"> to keep removing them, as the Ansible templates effectively did.</w:t>
            </w:r>
          </w:p>
        </w:tc>
      </w:tr>
    </w:tbl>
    <w:p>
      <w:pPr>
        <w:spacing w:after="0"/>
      </w:pPr>
    </w:p>
    <w:p>
      <w:pPr>
        <w:pStyle w:val="Heading1"/>
      </w:pPr>
      <w:r>
        <w:rPr/>
        <w:t xml:space="preserve">7. Mail relay</w:t>
      </w:r>
    </w:p>
    <w:p>
      <w:pPr>
        <w:pStyle w:val="ListParagraph"/>
        <w:numPr>
          <w:ilvl w:val="0"/>
          <w:numId w:val="2"/>
        </w:numPr>
      </w:pPr>
      <w:r>
        <w:rPr>
          <w:b/>
        </w:rPr>
        <w:t xml:space="preserve">Configure mail</w:t>
      </w:r>
      <w:r>
        <w:rPr/>
        <w:t xml:space="preserve"> (</w:t>
      </w:r>
      <w:r>
        <w:rPr>
          <w:i/>
        </w:rPr>
        <w:t xml:space="preserve">Library &gt; Mail &gt; Configuration</w:t>
      </w:r>
      <w:r>
        <w:rPr/>
        <w:t xml:space="preserve">) once, or rely on the workflow's SMTP attributes. Leave its username/password </w:t>
      </w:r>
      <w:r>
        <w:rPr>
          <w:b/>
        </w:rPr>
        <w:t xml:space="preserve">empty</w:t>
      </w:r>
      <w:r>
        <w:rPr/>
        <w:t xml:space="preserve"> for an anonymous relay. Any credentials stored there are used even when the workflow passes none.</w:t>
      </w:r>
    </w:p>
    <w:p>
      <w:pPr>
        <w:pStyle w:val="ListParagraph"/>
        <w:numPr>
          <w:ilvl w:val="0"/>
          <w:numId w:val="2"/>
        </w:numPr>
      </w:pPr>
      <w:r>
        <w:rPr>
          <w:b/>
        </w:rPr>
        <w:t xml:space="preserve">Match the security mode.</w:t>
      </w:r>
      <w:r>
        <w:rPr/>
        <w:t xml:space="preserve"> Plain SMTP on 25 → </w:t>
      </w:r>
      <w:r>
        <w:rPr>
          <w:rFonts w:ascii="Consolas" w:hAnsi="Consolas"/>
          <w:sz w:val="18"/>
          <w:shd w:val="clear" w:fill="EEF1F4"/>
        </w:rPr>
        <w:t xml:space="preserve">useStartTls = false</w:t>
      </w:r>
      <w:r>
        <w:rPr/>
        <w:t xml:space="preserve">. STARTTLS on 587 → the relay port must be set to </w:t>
      </w:r>
      <w:r>
        <w:rPr>
          <w:b/>
        </w:rPr>
        <w:t xml:space="preserve">STARTTLS</w:t>
      </w:r>
      <w:r>
        <w:rPr/>
        <w:t xml:space="preserve">, not "SSL/TLS". A mismatch does not fail; </w:t>
      </w:r>
      <w:r>
        <w:rPr>
          <w:b/>
        </w:rPr>
        <w:t xml:space="preserve">the send hangs indefinitely</w:t>
      </w:r>
      <w:r>
        <w:rPr/>
        <w:t xml:space="preserve">.</w:t>
      </w:r>
    </w:p>
    <w:p>
      <w:pPr>
        <w:pStyle w:val="ListParagraph"/>
        <w:numPr>
          <w:ilvl w:val="0"/>
          <w:numId w:val="2"/>
        </w:numPr>
      </w:pPr>
      <w:r>
        <w:rPr>
          <w:b/>
        </w:rPr>
        <w:t xml:space="preserve">Pre-flight</w:t>
      </w:r>
      <w:r>
        <w:rPr/>
        <w:t xml:space="preserve"> from a machine on the same network path: </w:t>
      </w:r>
      <w:r>
        <w:rPr>
          <w:rFonts w:ascii="Consolas" w:hAnsi="Consolas"/>
          <w:sz w:val="18"/>
          <w:shd w:val="clear" w:fill="EEF1F4"/>
        </w:rPr>
        <w:t xml:space="preserve"/>
      </w:r>
      <w:r>
        <w:rPr>
          <w:rFonts w:ascii="Consolas" w:hAnsi="Consolas"/>
          <w:sz w:val="18"/>
          <w:shd w:val="clear" w:fill="EEF1F4"/>
        </w:rPr>
        <w:t xml:space="preserve"> telnet &lt;relay&gt; &lt;port&gt; </w:t>
      </w:r>
      <w:r>
        <w:rPr>
          <w:rFonts w:ascii="Consolas" w:hAnsi="Consolas"/>
          <w:sz w:val="18"/>
          <w:shd w:val="clear" w:fill="EEF1F4"/>
        </w:rPr>
        <w:t xml:space="preserve"/>
      </w:r>
      <w:r>
        <w:rPr/>
        <w:t xml:space="preserve"> A </w:t>
      </w:r>
      <w:r>
        <w:rPr>
          <w:rFonts w:ascii="Consolas" w:hAnsi="Consolas"/>
          <w:sz w:val="18"/>
          <w:shd w:val="clear" w:fill="EEF1F4"/>
        </w:rPr>
        <w:t xml:space="preserve">220 ... ESMTP</w:t>
      </w:r>
      <w:r>
        <w:rPr/>
        <w:t xml:space="preserve"> banner is good, and </w:t>
      </w:r>
      <w:r>
        <w:rPr>
          <w:rFonts w:ascii="Consolas" w:hAnsi="Consolas"/>
          <w:sz w:val="18"/>
          <w:shd w:val="clear" w:fill="EEF1F4"/>
        </w:rPr>
        <w:t xml:space="preserve">EHLO test</w:t>
      </w:r>
      <w:r>
        <w:rPr/>
        <w:t xml:space="preserve"> should list </w:t>
      </w:r>
      <w:r>
        <w:rPr>
          <w:rFonts w:ascii="Consolas" w:hAnsi="Consolas"/>
          <w:sz w:val="18"/>
          <w:shd w:val="clear" w:fill="EEF1F4"/>
        </w:rPr>
        <w:t xml:space="preserve">250-STARTTLS</w:t>
      </w:r>
      <w:r>
        <w:rPr/>
        <w:t xml:space="preserve"> if TLS is used. A blank screen means implicit TLS, which will hang.</w:t>
      </w:r>
    </w:p>
    <w:p>
      <w:pPr>
        <w:pStyle w:val="ListParagraph"/>
        <w:numPr>
          <w:ilvl w:val="0"/>
          <w:numId w:val="2"/>
        </w:numPr>
      </w:pPr>
      <w:r>
        <w:rPr>
          <w:b/>
        </w:rPr>
        <w:t xml:space="preserve">If TLS is used:</w:t>
      </w:r>
      <w:r>
        <w:rPr/>
        <w:t xml:space="preserve"> import the relay's certificate with </w:t>
      </w:r>
      <w:r>
        <w:rPr>
          <w:i/>
        </w:rPr>
        <w:t xml:space="preserve">Library &gt; Configuration &gt; SSL Trust Manager &gt; Import a certificate from URL</w:t>
      </w:r>
      <w:r>
        <w:rPr/>
        <w:t xml:space="preserve">, and confirm TLS 1.2 is enabled on the relay (the OOTB workflow pins it).</w:t>
      </w:r>
    </w:p>
    <w:p>
      <w:pPr>
        <w:spacing w:after="0"/>
      </w:pPr>
    </w:p>
    <w:p>
      <w:pPr>
        <w:pStyle w:val="BodyText"/>
      </w:pPr>
      <w:r>
        <w:rPr/>
        <w:t xml:space="preserve">Full detail: </w:t>
      </w:r>
      <w:r>
        <w:rPr>
          <w:rFonts w:ascii="Consolas" w:hAnsi="Consolas"/>
          <w:sz w:val="18"/>
          <w:shd w:val="clear" w:fill="EEF1F4"/>
        </w:rPr>
        <w:t xml:space="preserve">_Shared/Documentation/Email-Notification-Standard.md</w:t>
      </w:r>
      <w:r>
        <w:rPr/>
        <w:t xml:space="preserve">.</w:t>
      </w:r>
    </w:p>
    <w:p>
      <w:pPr>
        <w:pStyle w:val="Heading1"/>
      </w:pPr>
      <w:r>
        <w:rPr/>
        <w:t xml:space="preserve">8. Size the WinRM timeout</w:t>
      </w:r>
    </w:p>
    <w:p>
      <w:pPr>
        <w:pStyle w:val="BodyText"/>
      </w:pPr>
      <w:r>
        <w:rPr/>
        <w:t xml:space="preserve">The clean is one synchronous PowerShell call; deleting over SMB costs time per item. On the PowerShell host:</w:t>
      </w:r>
    </w:p>
    <w:p>
      <w:pPr>
        <w:pStyle w:val="CodeBlock"/>
        <w:pBdr>
          <w:left w:val="single" w:sz="18" w:space="6" w:color="1F5C8B"/>
          <w:top w:val="single" w:sz="2" w:space="4" w:color="D4DAE1"/>
        </w:pBdr>
        <w:spacing w:before="120" w:after="0"/>
      </w:pPr>
      <w:r>
        <w:rPr>
          <w:rFonts w:ascii="Consolas" w:hAnsi="Consolas"/>
          <w:sz w:val="17"/>
        </w:rPr>
        <w:t xml:space="preserve">Get-Item WSMan:\localhost\MaxTimeoutms          # must exceed the longest run</w:t>
      </w:r>
    </w:p>
    <w:p>
      <w:pPr>
        <w:pStyle w:val="CodeBlock"/>
        <w:pBdr>
          <w:left w:val="single" w:sz="18" w:space="6" w:color="1F5C8B"/>
          <w:bottom w:val="single" w:sz="2" w:space="4" w:color="D4DAE1"/>
        </w:pBdr>
        <w:spacing w:before="0" w:after="160"/>
      </w:pPr>
      <w:r>
        <w:rPr>
          <w:rFonts w:ascii="Consolas" w:hAnsi="Consolas"/>
          <w:sz w:val="17"/>
        </w:rPr>
        <w:t xml:space="preserve">Set-Item WSMan:\localhost\MaxTimeoutms 3600000  # example: 60 minutes</w:t>
      </w:r>
    </w:p>
    <w:p>
      <w:pPr>
        <w:spacing w:after="0"/>
      </w:pPr>
    </w:p>
    <w:p>
      <w:pPr>
        <w:pStyle w:val="BodyText"/>
      </w:pPr>
      <w:r>
        <w:rPr/>
        <w:t xml:space="preserve">The PowerShell plug-in's operation timeout must also exceed it. Time a Report Only run against the largest group first; the live run takes at least as long.</w:t>
      </w:r>
    </w:p>
    <w:p>
      <w:pPr>
        <w:pStyle w:val="Heading1"/>
      </w:pPr>
      <w:r>
        <w:rPr/>
        <w:t xml:space="preserve">9. Configure the schedules</w:t>
      </w:r>
    </w:p>
    <w:p>
      <w:pPr>
        <w:pStyle w:val="BodyText"/>
      </w:pPr>
      <w:r>
        <w:rPr/>
        <w:t xml:space="preserve">After §10 passes, schedule one run per production template (</w:t>
      </w:r>
      <w:r>
        <w:rPr>
          <w:b/>
        </w:rPr>
        <w:t xml:space="preserve">Schedule</w:t>
      </w:r>
      <w:r>
        <w:rPr/>
        <w:t xml:space="preserve"> on the workflow) with the §6 values, </w:t>
      </w:r>
      <w:r>
        <w:rPr>
          <w:rFonts w:ascii="Consolas" w:hAnsi="Consolas"/>
          <w:sz w:val="18"/>
          <w:shd w:val="clear" w:fill="EEF1F4"/>
        </w:rPr>
        <w:t xml:space="preserve">reportOnly = no</w:t>
      </w:r>
      <w:r>
        <w:rPr/>
        <w:t xml:space="preserve">, </w:t>
      </w:r>
      <w:r>
        <w:rPr>
          <w:rFonts w:ascii="Consolas" w:hAnsi="Consolas"/>
          <w:sz w:val="18"/>
          <w:shd w:val="clear" w:fill="EEF1F4"/>
        </w:rPr>
        <w:t xml:space="preserve">emailReport = true</w:t>
      </w:r>
      <w:r>
        <w:rPr/>
        <w:t xml:space="preserve">, and the template's group DN. Allow for the run time measured in §8.</w:t>
      </w:r>
    </w:p>
    <w:p>
      <w:pPr>
        <w:pStyle w:val="Heading1"/>
      </w:pPr>
      <w:r>
        <w:rPr/>
        <w:t xml:space="preserve">10. Validate the deployment</w:t>
      </w:r>
    </w:p>
    <w:p>
      <w:pPr>
        <w:pStyle w:val="BodyText"/>
      </w:pPr>
      <w:r>
        <w:rPr/>
        <w:t xml:space="preserve">Run in this order; each step proves something the previous one cannot. Full test cases: </w:t>
      </w:r>
      <w:r>
        <w:rPr>
          <w:rFonts w:ascii="Consolas" w:hAnsi="Consolas"/>
          <w:sz w:val="18"/>
          <w:shd w:val="clear" w:fill="EEF1F4"/>
        </w:rPr>
        <w:t xml:space="preserve">05_Validation_and_Testing_Plan.md</w:t>
      </w:r>
      <w:r>
        <w:rPr/>
        <w:t xml:space="preserve">.</w:t>
      </w:r>
    </w:p>
    <w:p>
      <w:pPr>
        <w:pStyle w:val="ListParagraph"/>
        <w:numPr>
          <w:ilvl w:val="0"/>
          <w:numId w:val="2"/>
        </w:numPr>
      </w:pPr>
      <w:r>
        <w:rPr>
          <w:b/>
        </w:rPr>
        <w:t xml:space="preserve">Report Only against a lab group</w:t>
      </w:r>
      <w:r>
        <w:rPr/>
        <w:t xml:space="preserve"> seeded with </w:t>
      </w:r>
      <w:r>
        <w:rPr>
          <w:rFonts w:ascii="Consolas" w:hAnsi="Consolas"/>
          <w:sz w:val="18"/>
          <w:shd w:val="clear" w:fill="EEF1F4"/>
        </w:rPr>
        <w:t xml:space="preserve">lab\New-DiskCleanTestData.ps1</w:t>
      </w:r>
      <w:r>
        <w:rPr/>
        <w:t xml:space="preserve">. Expect: the resolved servers listed, </w:t>
      </w:r>
      <w:r>
        <w:rPr>
          <w:rFonts w:ascii="Consolas" w:hAnsi="Consolas"/>
          <w:sz w:val="18"/>
          <w:shd w:val="clear" w:fill="EEF1F4"/>
        </w:rPr>
        <w:t xml:space="preserve">stageScriptOnHost ... first copy</w:t>
      </w:r>
      <w:r>
        <w:rPr/>
        <w:t xml:space="preserve"> (then </w:t>
      </w:r>
      <w:r>
        <w:rPr>
          <w:rFonts w:ascii="Consolas" w:hAnsi="Consolas"/>
          <w:sz w:val="18"/>
          <w:shd w:val="clear" w:fill="EEF1F4"/>
        </w:rPr>
        <w:t xml:space="preserve">unchanged</w:t>
      </w:r>
      <w:r>
        <w:rPr/>
        <w:t xml:space="preserve"> on the next run), a would-delete list per server, the email received, and </w:t>
      </w:r>
      <w:r>
        <w:rPr>
          <w:rFonts w:ascii="Consolas" w:hAnsi="Consolas"/>
          <w:sz w:val="18"/>
          <w:shd w:val="clear" w:fill="EEF1F4"/>
        </w:rPr>
        <w:t xml:space="preserve">executionSuccess = true</w:t>
      </w:r>
      <w:r>
        <w:rPr/>
        <w:t xml:space="preserve">.</w:t>
      </w:r>
    </w:p>
    <w:p>
      <w:pPr>
        <w:pStyle w:val="ListParagraph"/>
        <w:numPr>
          <w:ilvl w:val="0"/>
          <w:numId w:val="2"/>
        </w:numPr>
      </w:pPr>
      <w:r>
        <w:rPr>
          <w:b/>
        </w:rPr>
        <w:t xml:space="preserve">Report Only against the real group.</w:t>
      </w:r>
      <w:r>
        <w:rPr/>
        <w:t xml:space="preserve"> Check the would-delete counts are plausible, and look for any </w:t>
      </w:r>
      <w:r>
        <w:rPr>
          <w:rFonts w:ascii="Consolas" w:hAnsi="Consolas"/>
          <w:sz w:val="18"/>
          <w:shd w:val="clear" w:fill="EEF1F4"/>
        </w:rPr>
        <w:t xml:space="preserve">Unreachable</w:t>
      </w:r>
      <w:r>
        <w:rPr/>
        <w:t xml:space="preserve"> servers. "Access ... denied" points to rights or delegation.</w:t>
      </w:r>
    </w:p>
    <w:p>
      <w:pPr>
        <w:pStyle w:val="ListParagraph"/>
        <w:numPr>
          <w:ilvl w:val="0"/>
          <w:numId w:val="2"/>
        </w:numPr>
      </w:pPr>
      <w:r>
        <w:rPr>
          <w:b/>
        </w:rPr>
        <w:t xml:space="preserve">Report and Delete against a group holding one test server.</w:t>
      </w:r>
      <w:r>
        <w:rPr/>
        <w:t xml:space="preserve"> Confirm the files are gone, the preserved items are still there, and the email shows the space freed.</w:t>
      </w:r>
    </w:p>
    <w:p>
      <w:pPr>
        <w:pStyle w:val="ListParagraph"/>
        <w:numPr>
          <w:ilvl w:val="0"/>
          <w:numId w:val="2"/>
        </w:numPr>
      </w:pPr>
      <w:r>
        <w:rPr>
          <w:b/>
        </w:rPr>
        <w:t xml:space="preserve">Mail failure path:</w:t>
      </w:r>
      <w:r>
        <w:rPr/>
        <w:t xml:space="preserve"> point </w:t>
      </w:r>
      <w:r>
        <w:rPr>
          <w:rFonts w:ascii="Consolas" w:hAnsi="Consolas"/>
          <w:sz w:val="18"/>
          <w:shd w:val="clear" w:fill="EEF1F4"/>
        </w:rPr>
        <w:t xml:space="preserve">smtpHost</w:t>
      </w:r>
      <w:r>
        <w:rPr/>
        <w:t xml:space="preserve"> at a non-existent host for one Report Only run. It should complete with </w:t>
      </w:r>
      <w:r>
        <w:rPr>
          <w:rFonts w:ascii="Consolas" w:hAnsi="Consolas"/>
          <w:sz w:val="18"/>
          <w:shd w:val="clear" w:fill="EEF1F4"/>
        </w:rPr>
        <w:t xml:space="preserve">executionSuccess = false</w:t>
      </w:r>
      <w:r>
        <w:rPr/>
        <w:t xml:space="preserve"> and "report NOT emailed".</w:t>
      </w:r>
    </w:p>
    <w:p>
      <w:pPr>
        <w:pStyle w:val="ListParagraph"/>
        <w:numPr>
          <w:ilvl w:val="0"/>
          <w:numId w:val="2"/>
        </w:numPr>
      </w:pPr>
      <w:r>
        <w:rPr/>
        <w:t xml:space="preserve">Only then schedule the production templates.</w:t>
      </w:r>
    </w:p>
    <w:p>
      <w:pPr>
        <w:spacing w:after="0"/>
      </w:pPr>
    </w:p>
    <w:p>
      <w:pPr>
        <w:pStyle w:val="Heading1"/>
      </w:pPr>
      <w:r>
        <w:rPr/>
        <w:t xml:space="preserve">11. Rollback</w:t>
      </w:r>
    </w:p>
    <w:p>
      <w:pPr>
        <w:pStyle w:val="ListParagraph"/>
        <w:numPr>
          <w:ilvl w:val="0"/>
          <w:numId w:val="1"/>
        </w:numPr>
      </w:pPr>
      <w:r>
        <w:rPr/>
        <w:t xml:space="preserve">Disabling or deleting a schedule stops that template immediately. The workflow keeps no state in Orchestrator.</w:t>
      </w:r>
    </w:p>
    <w:p>
      <w:pPr>
        <w:pStyle w:val="ListParagraph"/>
        <w:numPr>
          <w:ilvl w:val="0"/>
          <w:numId w:val="1"/>
        </w:numPr>
      </w:pPr>
      <w:r>
        <w:rPr/>
        <w:t xml:space="preserve">Removing a computer account from the group (or disabling it) excludes that server from the next run.</w:t>
      </w:r>
    </w:p>
    <w:p>
      <w:pPr>
        <w:pStyle w:val="ListParagraph"/>
        <w:numPr>
          <w:ilvl w:val="0"/>
          <w:numId w:val="1"/>
        </w:numPr>
      </w:pPr>
      <w:r>
        <w:rPr/>
        <w:t xml:space="preserve">To return to a previous script version, re-import it into the Resource Element. The next run overwrites the host copy.</w:t>
      </w:r>
    </w:p>
    <w:p>
      <w:pPr>
        <w:pStyle w:val="ListParagraph"/>
        <w:numPr>
          <w:ilvl w:val="0"/>
          <w:numId w:val="1"/>
        </w:numPr>
      </w:pPr>
      <w:r>
        <w:rPr/>
        <w:t xml:space="preserve">Deleted files are not recoverable by the workflow. Rely on Report Only runs before any new target or template goes live.</w:t>
      </w:r>
    </w:p>
    <w:p>
      <w:pPr>
        <w:spacing w:after="0"/>
      </w:pP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Implementation Guide  |  Windows Server Disk Cleans</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keepNext/>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keepNext/>
    </w:pPr>
    <w:rPr>
      <w:rFonts w:ascii="Segoe UI" w:hAnsi="Segoe UI" w:cs="Segoe UI"/>
      <w:sz w:val="24"/>
      <w:b/>
      <w:color w:val="1F5C8B"/>
    </w:rPr>
  </w:style>
  <w:style w:type="paragraph" w:styleId="Heading3">
    <w:name w:val="heading 3"/>
    <w:basedOn w:val="Normal"/>
    <w:next w:val="BodyText"/>
    <w:pPr>
      <w:outlineLvl w:val="2"/>
      <w:spacing w:before="220" w:after="80"/>
      <w:keepNext/>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Orchestrator documentation build</Application>
</Properties>
</file>

<file path=docProps/core.xml><?xml version="1.0" encoding="utf-8"?>
<cp:coreProperties xmlns:cp="http://schemas.openxmlformats.org/package/2006/metadata/core-properties" xmlns:dc="http://purl.org/dc/elements/1.1/" xmlns:dcterms="http://purl.org/dc/terms/" xmlns:xsi="http://www.w3.org/2001/XMLSchema-instance">
  <dc:title>Implementation Guide</dc:title>
  <dc:subject>Windows Server Disk Cleans</dc:subject>
  <dc:creator>Orchestrator documentation build</dc:creator>
  <cp:lastModifiedBy>Orchestrator documentation build</cp:lastModifiedBy>
  <dcterms:created xsi:type="dcterms:W3CDTF">2026-09-30T19:07:37Z</dcterms:created>
  <dcterms:modified xsi:type="dcterms:W3CDTF">2026-09-30T19:07:37Z</dcterms:modified>
</cp:coreProperties>
</file>