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sz w:val="22"/>
          <w:szCs w:val="24"/>
        </w:rPr>
        <w:id w:val="619113242"/>
        <w:docPartObj>
          <w:docPartGallery w:val="Table of Contents"/>
          <w:docPartUnique/>
        </w:docPartObj>
      </w:sdtPr>
      <w:sdtEndPr/>
      <w:sdtContent>
        <w:p w14:paraId="606AA662" w14:textId="77777777" w:rsidR="00435822" w:rsidRDefault="008B7ACC">
          <w:pPr>
            <w:pStyle w:val="TOCHeading"/>
          </w:pPr>
          <w:r>
            <w:t>Table of Contents</w:t>
          </w:r>
        </w:p>
        <w:p w14:paraId="1E294F05" w14:textId="0830A2FE" w:rsidR="0062537B" w:rsidRDefault="008B7ACC">
          <w:pPr>
            <w:pStyle w:val="TOC1"/>
            <w:tabs>
              <w:tab w:val="right" w:leader="dot" w:pos="9350"/>
            </w:tabs>
            <w:rPr>
              <w:rFonts w:asciiTheme="minorHAnsi" w:eastAsiaTheme="minorEastAsia" w:hAnsiTheme="minorHAnsi" w:cstheme="minorBidi"/>
              <w:noProof/>
              <w:color w:val="auto"/>
              <w:kern w:val="2"/>
              <w:sz w:val="24"/>
              <w:lang w:eastAsia="en-US"/>
              <w14:ligatures w14:val="standardContextual"/>
            </w:rPr>
          </w:pPr>
          <w:r>
            <w:fldChar w:fldCharType="begin"/>
          </w:r>
          <w:r>
            <w:instrText>TOC \o "1-3" \h \z \u</w:instrText>
          </w:r>
          <w:r>
            <w:fldChar w:fldCharType="separate"/>
          </w:r>
          <w:hyperlink w:anchor="_Toc237256651" w:history="1">
            <w:r w:rsidR="0062537B" w:rsidRPr="00865B51">
              <w:rPr>
                <w:rStyle w:val="Hyperlink"/>
                <w:noProof/>
              </w:rPr>
              <w:t>Executive Summary — Datastore Capacity Reporting</w:t>
            </w:r>
            <w:r w:rsidR="0062537B">
              <w:rPr>
                <w:noProof/>
                <w:webHidden/>
              </w:rPr>
              <w:tab/>
            </w:r>
            <w:r w:rsidR="0062537B">
              <w:rPr>
                <w:noProof/>
                <w:webHidden/>
              </w:rPr>
              <w:fldChar w:fldCharType="begin"/>
            </w:r>
            <w:r w:rsidR="0062537B">
              <w:rPr>
                <w:noProof/>
                <w:webHidden/>
              </w:rPr>
              <w:instrText xml:space="preserve"> PAGEREF _Toc237256651 \h </w:instrText>
            </w:r>
            <w:r w:rsidR="0062537B">
              <w:rPr>
                <w:noProof/>
                <w:webHidden/>
              </w:rPr>
            </w:r>
            <w:r w:rsidR="0062537B">
              <w:rPr>
                <w:noProof/>
                <w:webHidden/>
              </w:rPr>
              <w:fldChar w:fldCharType="separate"/>
            </w:r>
            <w:r w:rsidR="0062537B">
              <w:rPr>
                <w:noProof/>
                <w:webHidden/>
              </w:rPr>
              <w:t>1</w:t>
            </w:r>
            <w:r w:rsidR="0062537B">
              <w:rPr>
                <w:noProof/>
                <w:webHidden/>
              </w:rPr>
              <w:fldChar w:fldCharType="end"/>
            </w:r>
          </w:hyperlink>
        </w:p>
        <w:p w14:paraId="31C92A6A" w14:textId="3A47158F" w:rsidR="0062537B" w:rsidRDefault="0062537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652" w:history="1">
            <w:r w:rsidRPr="00865B51">
              <w:rPr>
                <w:rStyle w:val="Hyperlink"/>
                <w:noProof/>
              </w:rPr>
              <w:t>Objective</w:t>
            </w:r>
            <w:r>
              <w:rPr>
                <w:noProof/>
                <w:webHidden/>
              </w:rPr>
              <w:tab/>
            </w:r>
            <w:r>
              <w:rPr>
                <w:noProof/>
                <w:webHidden/>
              </w:rPr>
              <w:fldChar w:fldCharType="begin"/>
            </w:r>
            <w:r>
              <w:rPr>
                <w:noProof/>
                <w:webHidden/>
              </w:rPr>
              <w:instrText xml:space="preserve"> PAGEREF _Toc237256652 \h </w:instrText>
            </w:r>
            <w:r>
              <w:rPr>
                <w:noProof/>
                <w:webHidden/>
              </w:rPr>
            </w:r>
            <w:r>
              <w:rPr>
                <w:noProof/>
                <w:webHidden/>
              </w:rPr>
              <w:fldChar w:fldCharType="separate"/>
            </w:r>
            <w:r>
              <w:rPr>
                <w:noProof/>
                <w:webHidden/>
              </w:rPr>
              <w:t>1</w:t>
            </w:r>
            <w:r>
              <w:rPr>
                <w:noProof/>
                <w:webHidden/>
              </w:rPr>
              <w:fldChar w:fldCharType="end"/>
            </w:r>
          </w:hyperlink>
        </w:p>
        <w:p w14:paraId="0D6CF5CF" w14:textId="7445A161" w:rsidR="0062537B" w:rsidRDefault="0062537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653" w:history="1">
            <w:r w:rsidRPr="00865B51">
              <w:rPr>
                <w:rStyle w:val="Hyperlink"/>
                <w:noProof/>
              </w:rPr>
              <w:t>Scope</w:t>
            </w:r>
            <w:r>
              <w:rPr>
                <w:noProof/>
                <w:webHidden/>
              </w:rPr>
              <w:tab/>
            </w:r>
            <w:r>
              <w:rPr>
                <w:noProof/>
                <w:webHidden/>
              </w:rPr>
              <w:fldChar w:fldCharType="begin"/>
            </w:r>
            <w:r>
              <w:rPr>
                <w:noProof/>
                <w:webHidden/>
              </w:rPr>
              <w:instrText xml:space="preserve"> PAGEREF _Toc237256653 \h </w:instrText>
            </w:r>
            <w:r>
              <w:rPr>
                <w:noProof/>
                <w:webHidden/>
              </w:rPr>
            </w:r>
            <w:r>
              <w:rPr>
                <w:noProof/>
                <w:webHidden/>
              </w:rPr>
              <w:fldChar w:fldCharType="separate"/>
            </w:r>
            <w:r>
              <w:rPr>
                <w:noProof/>
                <w:webHidden/>
              </w:rPr>
              <w:t>1</w:t>
            </w:r>
            <w:r>
              <w:rPr>
                <w:noProof/>
                <w:webHidden/>
              </w:rPr>
              <w:fldChar w:fldCharType="end"/>
            </w:r>
          </w:hyperlink>
        </w:p>
        <w:p w14:paraId="281EBCC0" w14:textId="5B89F3F8" w:rsidR="0062537B" w:rsidRDefault="0062537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654" w:history="1">
            <w:r w:rsidRPr="00865B51">
              <w:rPr>
                <w:rStyle w:val="Hyperlink"/>
                <w:noProof/>
              </w:rPr>
              <w:t>High-level approach</w:t>
            </w:r>
            <w:r>
              <w:rPr>
                <w:noProof/>
                <w:webHidden/>
              </w:rPr>
              <w:tab/>
            </w:r>
            <w:r>
              <w:rPr>
                <w:noProof/>
                <w:webHidden/>
              </w:rPr>
              <w:fldChar w:fldCharType="begin"/>
            </w:r>
            <w:r>
              <w:rPr>
                <w:noProof/>
                <w:webHidden/>
              </w:rPr>
              <w:instrText xml:space="preserve"> PAGEREF _Toc237256654 \h </w:instrText>
            </w:r>
            <w:r>
              <w:rPr>
                <w:noProof/>
                <w:webHidden/>
              </w:rPr>
            </w:r>
            <w:r>
              <w:rPr>
                <w:noProof/>
                <w:webHidden/>
              </w:rPr>
              <w:fldChar w:fldCharType="separate"/>
            </w:r>
            <w:r>
              <w:rPr>
                <w:noProof/>
                <w:webHidden/>
              </w:rPr>
              <w:t>2</w:t>
            </w:r>
            <w:r>
              <w:rPr>
                <w:noProof/>
                <w:webHidden/>
              </w:rPr>
              <w:fldChar w:fldCharType="end"/>
            </w:r>
          </w:hyperlink>
        </w:p>
        <w:p w14:paraId="3E3BCE38" w14:textId="70338596" w:rsidR="0062537B" w:rsidRDefault="0062537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655" w:history="1">
            <w:r w:rsidRPr="00865B51">
              <w:rPr>
                <w:rStyle w:val="Hyperlink"/>
                <w:noProof/>
              </w:rPr>
              <w:t>Key benefits</w:t>
            </w:r>
            <w:r>
              <w:rPr>
                <w:noProof/>
                <w:webHidden/>
              </w:rPr>
              <w:tab/>
            </w:r>
            <w:r>
              <w:rPr>
                <w:noProof/>
                <w:webHidden/>
              </w:rPr>
              <w:fldChar w:fldCharType="begin"/>
            </w:r>
            <w:r>
              <w:rPr>
                <w:noProof/>
                <w:webHidden/>
              </w:rPr>
              <w:instrText xml:space="preserve"> PAGEREF _Toc237256655 \h </w:instrText>
            </w:r>
            <w:r>
              <w:rPr>
                <w:noProof/>
                <w:webHidden/>
              </w:rPr>
            </w:r>
            <w:r>
              <w:rPr>
                <w:noProof/>
                <w:webHidden/>
              </w:rPr>
              <w:fldChar w:fldCharType="separate"/>
            </w:r>
            <w:r>
              <w:rPr>
                <w:noProof/>
                <w:webHidden/>
              </w:rPr>
              <w:t>2</w:t>
            </w:r>
            <w:r>
              <w:rPr>
                <w:noProof/>
                <w:webHidden/>
              </w:rPr>
              <w:fldChar w:fldCharType="end"/>
            </w:r>
          </w:hyperlink>
        </w:p>
        <w:p w14:paraId="1763043A" w14:textId="13DA4ABB" w:rsidR="0062537B" w:rsidRDefault="0062537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656" w:history="1">
            <w:r w:rsidRPr="00865B51">
              <w:rPr>
                <w:rStyle w:val="Hyperlink"/>
                <w:noProof/>
              </w:rPr>
              <w:t>Key risks</w:t>
            </w:r>
            <w:r>
              <w:rPr>
                <w:noProof/>
                <w:webHidden/>
              </w:rPr>
              <w:tab/>
            </w:r>
            <w:r>
              <w:rPr>
                <w:noProof/>
                <w:webHidden/>
              </w:rPr>
              <w:fldChar w:fldCharType="begin"/>
            </w:r>
            <w:r>
              <w:rPr>
                <w:noProof/>
                <w:webHidden/>
              </w:rPr>
              <w:instrText xml:space="preserve"> PAGEREF _Toc237256656 \h </w:instrText>
            </w:r>
            <w:r>
              <w:rPr>
                <w:noProof/>
                <w:webHidden/>
              </w:rPr>
            </w:r>
            <w:r>
              <w:rPr>
                <w:noProof/>
                <w:webHidden/>
              </w:rPr>
              <w:fldChar w:fldCharType="separate"/>
            </w:r>
            <w:r>
              <w:rPr>
                <w:noProof/>
                <w:webHidden/>
              </w:rPr>
              <w:t>3</w:t>
            </w:r>
            <w:r>
              <w:rPr>
                <w:noProof/>
                <w:webHidden/>
              </w:rPr>
              <w:fldChar w:fldCharType="end"/>
            </w:r>
          </w:hyperlink>
        </w:p>
        <w:p w14:paraId="4CA5DC4B" w14:textId="7D604EE7" w:rsidR="0062537B" w:rsidRDefault="0062537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657" w:history="1">
            <w:r w:rsidRPr="00865B51">
              <w:rPr>
                <w:rStyle w:val="Hyperlink"/>
                <w:noProof/>
              </w:rPr>
              <w:t>Defects found in the customer's existing automation</w:t>
            </w:r>
            <w:r>
              <w:rPr>
                <w:noProof/>
                <w:webHidden/>
              </w:rPr>
              <w:tab/>
            </w:r>
            <w:r>
              <w:rPr>
                <w:noProof/>
                <w:webHidden/>
              </w:rPr>
              <w:fldChar w:fldCharType="begin"/>
            </w:r>
            <w:r>
              <w:rPr>
                <w:noProof/>
                <w:webHidden/>
              </w:rPr>
              <w:instrText xml:space="preserve"> PAGEREF _Toc237256657 \h </w:instrText>
            </w:r>
            <w:r>
              <w:rPr>
                <w:noProof/>
                <w:webHidden/>
              </w:rPr>
            </w:r>
            <w:r>
              <w:rPr>
                <w:noProof/>
                <w:webHidden/>
              </w:rPr>
              <w:fldChar w:fldCharType="separate"/>
            </w:r>
            <w:r>
              <w:rPr>
                <w:noProof/>
                <w:webHidden/>
              </w:rPr>
              <w:t>3</w:t>
            </w:r>
            <w:r>
              <w:rPr>
                <w:noProof/>
                <w:webHidden/>
              </w:rPr>
              <w:fldChar w:fldCharType="end"/>
            </w:r>
          </w:hyperlink>
        </w:p>
        <w:p w14:paraId="1200FE11" w14:textId="482D84A2" w:rsidR="0062537B" w:rsidRDefault="0062537B">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658" w:history="1">
            <w:r w:rsidRPr="00865B51">
              <w:rPr>
                <w:rStyle w:val="Hyperlink"/>
                <w:noProof/>
              </w:rPr>
              <w:t>Status and next steps</w:t>
            </w:r>
            <w:r>
              <w:rPr>
                <w:noProof/>
                <w:webHidden/>
              </w:rPr>
              <w:tab/>
            </w:r>
            <w:r>
              <w:rPr>
                <w:noProof/>
                <w:webHidden/>
              </w:rPr>
              <w:fldChar w:fldCharType="begin"/>
            </w:r>
            <w:r>
              <w:rPr>
                <w:noProof/>
                <w:webHidden/>
              </w:rPr>
              <w:instrText xml:space="preserve"> PAGEREF _Toc237256658 \h </w:instrText>
            </w:r>
            <w:r>
              <w:rPr>
                <w:noProof/>
                <w:webHidden/>
              </w:rPr>
            </w:r>
            <w:r>
              <w:rPr>
                <w:noProof/>
                <w:webHidden/>
              </w:rPr>
              <w:fldChar w:fldCharType="separate"/>
            </w:r>
            <w:r>
              <w:rPr>
                <w:noProof/>
                <w:webHidden/>
              </w:rPr>
              <w:t>4</w:t>
            </w:r>
            <w:r>
              <w:rPr>
                <w:noProof/>
                <w:webHidden/>
              </w:rPr>
              <w:fldChar w:fldCharType="end"/>
            </w:r>
          </w:hyperlink>
        </w:p>
        <w:p w14:paraId="0AD2AEA1" w14:textId="4B1F9D54" w:rsidR="00435822" w:rsidRDefault="008B7ACC">
          <w:r>
            <w:fldChar w:fldCharType="end"/>
          </w:r>
        </w:p>
      </w:sdtContent>
    </w:sdt>
    <w:p w14:paraId="4F82052B" w14:textId="77777777" w:rsidR="00435822" w:rsidRDefault="008B7ACC">
      <w:pPr>
        <w:pStyle w:val="Heading1"/>
      </w:pPr>
      <w:bookmarkStart w:id="0" w:name="X89efa367303de086a3fec6ba4b59702033930ad"/>
      <w:bookmarkStart w:id="1" w:name="_Toc237256651"/>
      <w:r>
        <w:t>Executive Summary — Datastore Capacity Reporting</w:t>
      </w:r>
      <w:bookmarkEnd w:id="1"/>
    </w:p>
    <w:p w14:paraId="4A0D22AE" w14:textId="77777777" w:rsidR="00435822" w:rsidRDefault="008B7ACC">
      <w:pPr>
        <w:pStyle w:val="FirstParagraph"/>
      </w:pPr>
      <w:r>
        <w:rPr>
          <w:b/>
          <w:bCs/>
        </w:rPr>
        <w:t>Project:</w:t>
      </w:r>
      <w:r>
        <w:t xml:space="preserve"> Ansible → VCF Orchestrator transition — "Get Datastores Greater than 75 Percent Used" </w:t>
      </w:r>
      <w:r>
        <w:rPr>
          <w:b/>
          <w:bCs/>
        </w:rPr>
        <w:t>Platform:</w:t>
      </w:r>
      <w:r>
        <w:t xml:space="preserve"> VCF Automation 9 / VCF Operations Orchestrator 9 </w:t>
      </w:r>
      <w:r>
        <w:rPr>
          <w:b/>
          <w:bCs/>
        </w:rPr>
        <w:t>Date:</w:t>
      </w:r>
      <w:r>
        <w:t xml:space="preserve"> 2026-08-10 </w:t>
      </w:r>
      <w:r>
        <w:rPr>
          <w:b/>
          <w:bCs/>
        </w:rPr>
        <w:t>Status:</w:t>
      </w:r>
      <w:r>
        <w:t xml:space="preserve"> Built and unit-validated; pending lab validation and parallel run</w:t>
      </w:r>
    </w:p>
    <w:p w14:paraId="74F841CD" w14:textId="77777777" w:rsidR="00435822" w:rsidRDefault="008B7ACC">
      <w:r>
        <w:pict w14:anchorId="72688293">
          <v:rect id="_x0000_i1025" style="width:0;height:1.5pt" o:hralign="center" o:hrstd="t" o:hr="t"/>
        </w:pict>
      </w:r>
    </w:p>
    <w:p w14:paraId="73015872" w14:textId="77777777" w:rsidR="00435822" w:rsidRDefault="008B7ACC">
      <w:pPr>
        <w:pStyle w:val="Heading2"/>
      </w:pPr>
      <w:bookmarkStart w:id="2" w:name="objective"/>
      <w:bookmarkStart w:id="3" w:name="_Toc237256652"/>
      <w:r>
        <w:t>Objective</w:t>
      </w:r>
      <w:bookmarkEnd w:id="3"/>
    </w:p>
    <w:p w14:paraId="15AAFABD" w14:textId="77777777" w:rsidR="00435822" w:rsidRDefault="008B7ACC">
      <w:pPr>
        <w:pStyle w:val="FirstParagraph"/>
      </w:pPr>
      <w:r>
        <w:t xml:space="preserve">Move the scheduled datastore capacity report off Ansible and onto VCF Operations </w:t>
      </w:r>
      <w:r>
        <w:t>Orchestrator, and correct the defects that have been silently limiting what that report shows.</w:t>
      </w:r>
    </w:p>
    <w:p w14:paraId="5B61D8BC" w14:textId="77777777" w:rsidR="00435822" w:rsidRDefault="008B7ACC">
      <w:pPr>
        <w:pStyle w:val="BodyText"/>
      </w:pPr>
      <w:r>
        <w:t>The report tells the storage and infrastructure teams which datastores across the five-vCenter estate are approaching full, early enough to act. Its value depends entirely on being complete and on arriving. Neither has been reliably true.</w:t>
      </w:r>
    </w:p>
    <w:p w14:paraId="53C4875A" w14:textId="77777777" w:rsidR="00435822" w:rsidRDefault="008B7ACC">
      <w:r>
        <w:pict w14:anchorId="2E662E6D">
          <v:rect id="_x0000_i1026" style="width:0;height:1.5pt" o:hralign="center" o:hrstd="t" o:hr="t"/>
        </w:pict>
      </w:r>
    </w:p>
    <w:p w14:paraId="3589667B" w14:textId="77777777" w:rsidR="00435822" w:rsidRDefault="008B7ACC">
      <w:pPr>
        <w:pStyle w:val="Heading2"/>
      </w:pPr>
      <w:bookmarkStart w:id="4" w:name="scope"/>
      <w:bookmarkStart w:id="5" w:name="_Toc237256653"/>
      <w:bookmarkEnd w:id="2"/>
      <w:r>
        <w:t>Scope</w:t>
      </w:r>
      <w:bookmarkEnd w:id="5"/>
    </w:p>
    <w:p w14:paraId="732D4DE7" w14:textId="77777777" w:rsidR="00435822" w:rsidRDefault="008B7ACC">
      <w:pPr>
        <w:pStyle w:val="FirstParagraph"/>
      </w:pPr>
      <w:r>
        <w:rPr>
          <w:b/>
          <w:bCs/>
        </w:rPr>
        <w:t>In scope</w:t>
      </w:r>
    </w:p>
    <w:p w14:paraId="2C12933A" w14:textId="77777777" w:rsidR="00435822" w:rsidRDefault="008B7ACC">
      <w:pPr>
        <w:pStyle w:val="Compact"/>
        <w:numPr>
          <w:ilvl w:val="0"/>
          <w:numId w:val="2"/>
        </w:numPr>
      </w:pPr>
      <w:r>
        <w:t>One Ansible job template (</w:t>
      </w:r>
      <w:r>
        <w:rPr>
          <w:rStyle w:val="VerbatimChar"/>
        </w:rPr>
        <w:t>get_datastores_75_100_used.yml</w:t>
      </w:r>
      <w:r>
        <w:t xml:space="preserve">) replaced by one Orchestrator workflow, </w:t>
      </w:r>
      <w:r>
        <w:rPr>
          <w:b/>
          <w:bCs/>
        </w:rPr>
        <w:t>Get Datastore Capacity Report</w:t>
      </w:r>
      <w:r>
        <w:t>.</w:t>
      </w:r>
    </w:p>
    <w:p w14:paraId="5FA6D8BB" w14:textId="77777777" w:rsidR="00435822" w:rsidRDefault="008B7ACC">
      <w:pPr>
        <w:pStyle w:val="Compact"/>
        <w:numPr>
          <w:ilvl w:val="0"/>
          <w:numId w:val="2"/>
        </w:numPr>
      </w:pPr>
      <w:r>
        <w:t xml:space="preserve">Package </w:t>
      </w:r>
      <w:r>
        <w:rPr>
          <w:rStyle w:val="VerbatimChar"/>
        </w:rPr>
        <w:t>com.broadcom.pso.vc.storage.reporting</w:t>
      </w:r>
      <w:r>
        <w:t xml:space="preserve"> — one workflow, two actions.</w:t>
      </w:r>
    </w:p>
    <w:p w14:paraId="1ED574C6" w14:textId="77777777" w:rsidR="00435822" w:rsidRDefault="008B7ACC">
      <w:pPr>
        <w:pStyle w:val="Compact"/>
        <w:numPr>
          <w:ilvl w:val="0"/>
          <w:numId w:val="2"/>
        </w:numPr>
      </w:pPr>
      <w:r>
        <w:t>Documentation set, change register, and an offline test harness with 112 assertions.</w:t>
      </w:r>
    </w:p>
    <w:p w14:paraId="7DED868D" w14:textId="77777777" w:rsidR="00435822" w:rsidRDefault="008B7ACC">
      <w:pPr>
        <w:pStyle w:val="FirstParagraph"/>
      </w:pPr>
      <w:r>
        <w:rPr>
          <w:b/>
          <w:bCs/>
        </w:rPr>
        <w:t>Out of scope</w:t>
      </w:r>
    </w:p>
    <w:p w14:paraId="1C4FB906" w14:textId="77777777" w:rsidR="00435822" w:rsidRDefault="008B7ACC">
      <w:pPr>
        <w:pStyle w:val="Compact"/>
        <w:numPr>
          <w:ilvl w:val="0"/>
          <w:numId w:val="3"/>
        </w:numPr>
      </w:pPr>
      <w:r>
        <w:t xml:space="preserve">Any change to </w:t>
      </w:r>
      <w:r>
        <w:rPr>
          <w:rStyle w:val="VerbatimChar"/>
        </w:rPr>
        <w:t>cvs_functions.ps1</w:t>
      </w:r>
      <w:r>
        <w:t xml:space="preserve">. This deliverable removes the PowerShell host from the execution path rather than re-pointing it, so the shared script is not touched — see </w:t>
      </w:r>
      <w:r>
        <w:rPr>
          <w:i/>
          <w:iCs/>
        </w:rPr>
        <w:t>Key risks</w:t>
      </w:r>
      <w:r>
        <w:t>, item 3.</w:t>
      </w:r>
    </w:p>
    <w:p w14:paraId="3979E0F0" w14:textId="77777777" w:rsidR="00435822" w:rsidRDefault="008B7ACC">
      <w:pPr>
        <w:pStyle w:val="Compact"/>
        <w:numPr>
          <w:ilvl w:val="0"/>
          <w:numId w:val="3"/>
        </w:numPr>
      </w:pPr>
      <w:r>
        <w:t>Remediation. The workflow reports; it does not move, expand or clean up anything.</w:t>
      </w:r>
    </w:p>
    <w:p w14:paraId="13B73527" w14:textId="77777777" w:rsidR="00435822" w:rsidRDefault="008B7ACC">
      <w:pPr>
        <w:pStyle w:val="Compact"/>
        <w:numPr>
          <w:ilvl w:val="0"/>
          <w:numId w:val="3"/>
        </w:numPr>
      </w:pPr>
      <w:r>
        <w:t>Datastore performance or latency reporting, which is delivered separately by the Snapshot Cleanup package.</w:t>
      </w:r>
    </w:p>
    <w:p w14:paraId="767EC419" w14:textId="77777777" w:rsidR="00435822" w:rsidRDefault="008B7ACC">
      <w:r>
        <w:pict w14:anchorId="210FCA2A">
          <v:rect id="_x0000_i1027" style="width:0;height:1.5pt" o:hralign="center" o:hrstd="t" o:hr="t"/>
        </w:pict>
      </w:r>
    </w:p>
    <w:p w14:paraId="7835F65A" w14:textId="77777777" w:rsidR="00435822" w:rsidRDefault="008B7ACC">
      <w:pPr>
        <w:pStyle w:val="Heading2"/>
      </w:pPr>
      <w:bookmarkStart w:id="6" w:name="high-level-approach"/>
      <w:bookmarkStart w:id="7" w:name="_Toc237256654"/>
      <w:bookmarkEnd w:id="4"/>
      <w:r>
        <w:t>High-level approach</w:t>
      </w:r>
      <w:bookmarkEnd w:id="7"/>
    </w:p>
    <w:p w14:paraId="4938E3E4" w14:textId="77777777" w:rsidR="00435822" w:rsidRDefault="008B7ACC">
      <w:pPr>
        <w:pStyle w:val="FirstParagraph"/>
      </w:pPr>
      <w:r>
        <w:t xml:space="preserve">The workflow is </w:t>
      </w:r>
      <w:r>
        <w:rPr>
          <w:b/>
          <w:bCs/>
        </w:rPr>
        <w:t>vCenter-native</w:t>
      </w:r>
      <w:r>
        <w:t>. It reads datastore capacity directly through the Orchestrator vCenter plug-in — the second project in this programme, after Snapshot Cleanup, to require no PowerShell host at all.</w:t>
      </w:r>
    </w:p>
    <w:p w14:paraId="268B6BC9" w14:textId="77777777" w:rsidR="00435822" w:rsidRDefault="008B7ACC">
      <w:pPr>
        <w:pStyle w:val="BodyText"/>
      </w:pPr>
      <w:r>
        <w:t xml:space="preserve">Retired outright: the WinRM session to a Windows host, the staging and execution of </w:t>
      </w:r>
      <w:r>
        <w:rPr>
          <w:rStyle w:val="VerbatimChar"/>
        </w:rPr>
        <w:t>cvs_functions.ps1</w:t>
      </w:r>
      <w:r>
        <w:t xml:space="preserve"> on it, the PowerCLI dependency, the second set of vCenter </w:t>
      </w:r>
      <w:r>
        <w:t xml:space="preserve">credentials held outside Orchestrator, </w:t>
      </w:r>
      <w:r>
        <w:rPr>
          <w:rStyle w:val="VerbatimChar"/>
        </w:rPr>
        <w:t>Send-MailMessage</w:t>
      </w:r>
      <w:r>
        <w:t>, and the hardcoded list of vCenter hostnames.</w:t>
      </w:r>
    </w:p>
    <w:p w14:paraId="4DB2BC36" w14:textId="77777777" w:rsidR="00435822" w:rsidRDefault="008B7ACC">
      <w:pPr>
        <w:pStyle w:val="BodyText"/>
      </w:pPr>
      <w:r>
        <w:t>Each vCenter is swept independently, results are banded into three contiguous severity ranges, and a styled HTML report is emailed through the Orchestrator Mail plug-in.</w:t>
      </w:r>
    </w:p>
    <w:p w14:paraId="5CEB3450" w14:textId="77777777" w:rsidR="00435822" w:rsidRDefault="008B7ACC">
      <w:r>
        <w:pict w14:anchorId="75CB7A6E">
          <v:rect id="_x0000_i1028" style="width:0;height:1.5pt" o:hralign="center" o:hrstd="t" o:hr="t"/>
        </w:pict>
      </w:r>
    </w:p>
    <w:p w14:paraId="4642D2F4" w14:textId="77777777" w:rsidR="00435822" w:rsidRDefault="008B7ACC">
      <w:pPr>
        <w:pStyle w:val="Heading2"/>
      </w:pPr>
      <w:bookmarkStart w:id="8" w:name="key-benefits"/>
      <w:bookmarkStart w:id="9" w:name="_Toc237256655"/>
      <w:bookmarkEnd w:id="6"/>
      <w:r>
        <w:t>Key benefits</w:t>
      </w:r>
      <w:bookmarkEnd w:id="9"/>
    </w:p>
    <w:tbl>
      <w:tblPr>
        <w:tblStyle w:val="Table"/>
        <w:tblW w:w="0" w:type="auto"/>
        <w:tblLook w:val="0020" w:firstRow="1" w:lastRow="0" w:firstColumn="0" w:lastColumn="0" w:noHBand="0" w:noVBand="0"/>
      </w:tblPr>
      <w:tblGrid>
        <w:gridCol w:w="2248"/>
        <w:gridCol w:w="7328"/>
      </w:tblGrid>
      <w:tr w:rsidR="00435822" w14:paraId="5A94EB33" w14:textId="77777777" w:rsidTr="00435822">
        <w:trPr>
          <w:cnfStyle w:val="100000000000" w:firstRow="1" w:lastRow="0" w:firstColumn="0" w:lastColumn="0" w:oddVBand="0" w:evenVBand="0" w:oddHBand="0" w:evenHBand="0" w:firstRowFirstColumn="0" w:firstRowLastColumn="0" w:lastRowFirstColumn="0" w:lastRowLastColumn="0"/>
          <w:tblHeader/>
        </w:trPr>
        <w:tc>
          <w:tcPr>
            <w:tcW w:w="0" w:type="auto"/>
          </w:tcPr>
          <w:p w14:paraId="0CA3B814" w14:textId="77777777" w:rsidR="00435822" w:rsidRDefault="008B7ACC">
            <w:pPr>
              <w:pStyle w:val="Compact"/>
            </w:pPr>
            <w:r>
              <w:t>Benefit</w:t>
            </w:r>
          </w:p>
        </w:tc>
        <w:tc>
          <w:tcPr>
            <w:tcW w:w="0" w:type="auto"/>
          </w:tcPr>
          <w:p w14:paraId="7FD99E25" w14:textId="77777777" w:rsidR="00435822" w:rsidRDefault="008B7ACC">
            <w:pPr>
              <w:pStyle w:val="Compact"/>
            </w:pPr>
            <w:r>
              <w:t>Detail</w:t>
            </w:r>
          </w:p>
        </w:tc>
      </w:tr>
      <w:tr w:rsidR="00435822" w14:paraId="31815447" w14:textId="77777777">
        <w:tc>
          <w:tcPr>
            <w:tcW w:w="0" w:type="auto"/>
          </w:tcPr>
          <w:p w14:paraId="1E0FE3D0" w14:textId="77777777" w:rsidR="00435822" w:rsidRDefault="008B7ACC">
            <w:pPr>
              <w:pStyle w:val="Compact"/>
            </w:pPr>
            <w:r>
              <w:rPr>
                <w:b/>
                <w:bCs/>
              </w:rPr>
              <w:t>The report becomes complete</w:t>
            </w:r>
          </w:p>
        </w:tc>
        <w:tc>
          <w:tcPr>
            <w:tcW w:w="0" w:type="auto"/>
          </w:tcPr>
          <w:p w14:paraId="62A365B2" w14:textId="77777777" w:rsidR="00435822" w:rsidRDefault="008B7ACC">
            <w:pPr>
              <w:pStyle w:val="Compact"/>
            </w:pPr>
            <w:r>
              <w:t>A datastore that is nearly full but not overcommitted has never appeared on this report. It now does. This is the single most consequential change in the project.</w:t>
            </w:r>
          </w:p>
        </w:tc>
      </w:tr>
      <w:tr w:rsidR="00435822" w14:paraId="7EDB66FA" w14:textId="77777777">
        <w:tc>
          <w:tcPr>
            <w:tcW w:w="0" w:type="auto"/>
          </w:tcPr>
          <w:p w14:paraId="498AEFE0" w14:textId="77777777" w:rsidR="00435822" w:rsidRDefault="008B7ACC">
            <w:pPr>
              <w:pStyle w:val="Compact"/>
            </w:pPr>
            <w:r>
              <w:rPr>
                <w:b/>
                <w:bCs/>
              </w:rPr>
              <w:t>The report arrives</w:t>
            </w:r>
          </w:p>
        </w:tc>
        <w:tc>
          <w:tcPr>
            <w:tcW w:w="0" w:type="auto"/>
          </w:tcPr>
          <w:p w14:paraId="7221342C" w14:textId="77777777" w:rsidR="00435822" w:rsidRDefault="008B7ACC">
            <w:pPr>
              <w:pStyle w:val="Compact"/>
            </w:pPr>
            <w:r>
              <w:t xml:space="preserve">One unreachable vCenter, or one decommissioned datastore anywhere in the estate, currently ends the run and sends </w:t>
            </w:r>
            <w:r>
              <w:rPr>
                <w:b/>
                <w:bCs/>
              </w:rPr>
              <w:t>nothing</w:t>
            </w:r>
            <w:r>
              <w:t>. Both are now isolated; the report is delivered with the gap declared on its face.</w:t>
            </w:r>
          </w:p>
        </w:tc>
      </w:tr>
      <w:tr w:rsidR="00435822" w14:paraId="3FB25F07" w14:textId="77777777">
        <w:tc>
          <w:tcPr>
            <w:tcW w:w="0" w:type="auto"/>
          </w:tcPr>
          <w:p w14:paraId="420A93B5" w14:textId="77777777" w:rsidR="00435822" w:rsidRDefault="008B7ACC">
            <w:pPr>
              <w:pStyle w:val="Compact"/>
            </w:pPr>
            <w:r>
              <w:rPr>
                <w:b/>
                <w:bCs/>
              </w:rPr>
              <w:t>Attack surface and maintenance reduced</w:t>
            </w:r>
          </w:p>
        </w:tc>
        <w:tc>
          <w:tcPr>
            <w:tcW w:w="0" w:type="auto"/>
          </w:tcPr>
          <w:p w14:paraId="2AD16F95" w14:textId="77777777" w:rsidR="00435822" w:rsidRDefault="008B7ACC">
            <w:pPr>
              <w:pStyle w:val="Compact"/>
            </w:pPr>
            <w:r>
              <w:t>No Windows host, no PowerCLI to keep current, no WinRM listener, no Kerberos second hop, and no vCenter credential stored outside Orchestrator, in the path of this report.</w:t>
            </w:r>
          </w:p>
        </w:tc>
      </w:tr>
      <w:tr w:rsidR="00435822" w14:paraId="1FC99498" w14:textId="77777777">
        <w:tc>
          <w:tcPr>
            <w:tcW w:w="0" w:type="auto"/>
          </w:tcPr>
          <w:p w14:paraId="38F4565A" w14:textId="77777777" w:rsidR="00435822" w:rsidRDefault="008B7ACC">
            <w:pPr>
              <w:pStyle w:val="Compact"/>
            </w:pPr>
            <w:r>
              <w:rPr>
                <w:b/>
                <w:bCs/>
              </w:rPr>
              <w:t>The vCenter list maintains itself</w:t>
            </w:r>
          </w:p>
        </w:tc>
        <w:tc>
          <w:tcPr>
            <w:tcW w:w="0" w:type="auto"/>
          </w:tcPr>
          <w:p w14:paraId="10A18720" w14:textId="77777777" w:rsidR="00435822" w:rsidRDefault="008B7ACC">
            <w:pPr>
              <w:pStyle w:val="Compact"/>
            </w:pPr>
            <w:r>
              <w:t>The estate is read from the vCenters registered in Orchestrator. A newly commissioned vCenter cannot be missed because someone forgot to edit a string.</w:t>
            </w:r>
          </w:p>
        </w:tc>
      </w:tr>
      <w:tr w:rsidR="00435822" w14:paraId="422B1A7F" w14:textId="77777777">
        <w:tc>
          <w:tcPr>
            <w:tcW w:w="0" w:type="auto"/>
          </w:tcPr>
          <w:p w14:paraId="13564704" w14:textId="77777777" w:rsidR="00435822" w:rsidRDefault="008B7ACC">
            <w:pPr>
              <w:pStyle w:val="Compact"/>
            </w:pPr>
            <w:r>
              <w:rPr>
                <w:b/>
                <w:bCs/>
              </w:rPr>
              <w:t>The subject line stops misleading</w:t>
            </w:r>
          </w:p>
        </w:tc>
        <w:tc>
          <w:tcPr>
            <w:tcW w:w="0" w:type="auto"/>
          </w:tcPr>
          <w:p w14:paraId="6FEF15FA" w14:textId="77777777" w:rsidR="00435822" w:rsidRDefault="008B7ACC">
            <w:pPr>
              <w:pStyle w:val="Compact"/>
            </w:pPr>
            <w:r>
              <w:t>It carries all three severity counts and states plainly when the underlying scan was incomplete.</w:t>
            </w:r>
          </w:p>
        </w:tc>
      </w:tr>
    </w:tbl>
    <w:p w14:paraId="0AA44B96" w14:textId="77777777" w:rsidR="00435822" w:rsidRDefault="008B7ACC">
      <w:r>
        <w:pict w14:anchorId="1A24D19D">
          <v:rect id="_x0000_i1029" style="width:0;height:1.5pt" o:hralign="center" o:hrstd="t" o:hr="t"/>
        </w:pict>
      </w:r>
    </w:p>
    <w:p w14:paraId="5BF47DFA" w14:textId="77777777" w:rsidR="00435822" w:rsidRDefault="008B7ACC">
      <w:pPr>
        <w:pStyle w:val="Heading2"/>
      </w:pPr>
      <w:bookmarkStart w:id="10" w:name="key-risks"/>
      <w:bookmarkStart w:id="11" w:name="_Toc237256656"/>
      <w:bookmarkEnd w:id="8"/>
      <w:r>
        <w:t>Key risks</w:t>
      </w:r>
      <w:bookmarkEnd w:id="11"/>
    </w:p>
    <w:tbl>
      <w:tblPr>
        <w:tblStyle w:val="Table"/>
        <w:tblW w:w="0" w:type="auto"/>
        <w:tblLook w:val="0020" w:firstRow="1" w:lastRow="0" w:firstColumn="0" w:lastColumn="0" w:noHBand="0" w:noVBand="0"/>
      </w:tblPr>
      <w:tblGrid>
        <w:gridCol w:w="328"/>
        <w:gridCol w:w="5165"/>
        <w:gridCol w:w="4083"/>
      </w:tblGrid>
      <w:tr w:rsidR="00435822" w14:paraId="465805EE" w14:textId="77777777" w:rsidTr="00435822">
        <w:trPr>
          <w:cnfStyle w:val="100000000000" w:firstRow="1" w:lastRow="0" w:firstColumn="0" w:lastColumn="0" w:oddVBand="0" w:evenVBand="0" w:oddHBand="0" w:evenHBand="0" w:firstRowFirstColumn="0" w:firstRowLastColumn="0" w:lastRowFirstColumn="0" w:lastRowLastColumn="0"/>
          <w:tblHeader/>
        </w:trPr>
        <w:tc>
          <w:tcPr>
            <w:tcW w:w="0" w:type="auto"/>
          </w:tcPr>
          <w:p w14:paraId="4D91BA68" w14:textId="77777777" w:rsidR="00435822" w:rsidRDefault="008B7ACC">
            <w:pPr>
              <w:pStyle w:val="Compact"/>
            </w:pPr>
            <w:r>
              <w:t>#</w:t>
            </w:r>
          </w:p>
        </w:tc>
        <w:tc>
          <w:tcPr>
            <w:tcW w:w="0" w:type="auto"/>
          </w:tcPr>
          <w:p w14:paraId="6AA918C5" w14:textId="77777777" w:rsidR="00435822" w:rsidRDefault="008B7ACC">
            <w:pPr>
              <w:pStyle w:val="Compact"/>
            </w:pPr>
            <w:r>
              <w:t>Risk</w:t>
            </w:r>
          </w:p>
        </w:tc>
        <w:tc>
          <w:tcPr>
            <w:tcW w:w="0" w:type="auto"/>
          </w:tcPr>
          <w:p w14:paraId="74283A78" w14:textId="77777777" w:rsidR="00435822" w:rsidRDefault="008B7ACC">
            <w:pPr>
              <w:pStyle w:val="Compact"/>
            </w:pPr>
            <w:r>
              <w:t>Mitigation</w:t>
            </w:r>
          </w:p>
        </w:tc>
      </w:tr>
      <w:tr w:rsidR="00435822" w14:paraId="09E4F0E9" w14:textId="77777777">
        <w:tc>
          <w:tcPr>
            <w:tcW w:w="0" w:type="auto"/>
          </w:tcPr>
          <w:p w14:paraId="39E84A83" w14:textId="77777777" w:rsidR="00435822" w:rsidRDefault="008B7ACC">
            <w:pPr>
              <w:pStyle w:val="Compact"/>
            </w:pPr>
            <w:r>
              <w:t>1</w:t>
            </w:r>
          </w:p>
        </w:tc>
        <w:tc>
          <w:tcPr>
            <w:tcW w:w="0" w:type="auto"/>
          </w:tcPr>
          <w:p w14:paraId="1F7F4F45" w14:textId="77777777" w:rsidR="00435822" w:rsidRDefault="008B7ACC">
            <w:pPr>
              <w:pStyle w:val="Compact"/>
            </w:pPr>
            <w:r>
              <w:rPr>
                <w:b/>
                <w:bCs/>
              </w:rPr>
              <w:t>The report will get noticeably longer.</w:t>
            </w:r>
            <w:r>
              <w:t xml:space="preserve"> </w:t>
            </w:r>
            <w:r>
              <w:t>Three separate fixes each restore rows that were previously invisible; in the lab fixtures the row count rises four-fold. Recipients may read this as a sudden deterioration in the estate.</w:t>
            </w:r>
          </w:p>
        </w:tc>
        <w:tc>
          <w:tcPr>
            <w:tcW w:w="0" w:type="auto"/>
          </w:tcPr>
          <w:p w14:paraId="7210CF13" w14:textId="77777777" w:rsidR="00435822" w:rsidRDefault="008B7ACC">
            <w:pPr>
              <w:pStyle w:val="Compact"/>
            </w:pPr>
            <w:r>
              <w:t xml:space="preserve">Brief the distribution list before the first scheduled send. The Change Register §6 gives the wording and the comparison method. </w:t>
            </w:r>
            <w:r>
              <w:rPr>
                <w:b/>
                <w:bCs/>
              </w:rPr>
              <w:t>This is the primary go-live action.</w:t>
            </w:r>
          </w:p>
        </w:tc>
      </w:tr>
      <w:tr w:rsidR="00435822" w14:paraId="0F00AACC" w14:textId="77777777">
        <w:tc>
          <w:tcPr>
            <w:tcW w:w="0" w:type="auto"/>
          </w:tcPr>
          <w:p w14:paraId="2EFAC86D" w14:textId="77777777" w:rsidR="00435822" w:rsidRDefault="008B7ACC">
            <w:pPr>
              <w:pStyle w:val="Compact"/>
            </w:pPr>
            <w:r>
              <w:t>2</w:t>
            </w:r>
          </w:p>
        </w:tc>
        <w:tc>
          <w:tcPr>
            <w:tcW w:w="0" w:type="auto"/>
          </w:tcPr>
          <w:p w14:paraId="65E7D6C3" w14:textId="77777777" w:rsidR="00435822" w:rsidRDefault="008B7ACC">
            <w:pPr>
              <w:pStyle w:val="Compact"/>
            </w:pPr>
            <w:r>
              <w:rPr>
                <w:b/>
                <w:bCs/>
              </w:rPr>
              <w:t>Comparison against the old report will not tie out.</w:t>
            </w:r>
            <w:r>
              <w:t xml:space="preserve"> The counts are expected to differ substantially.</w:t>
            </w:r>
          </w:p>
        </w:tc>
        <w:tc>
          <w:tcPr>
            <w:tcW w:w="0" w:type="auto"/>
          </w:tcPr>
          <w:p w14:paraId="0A26D687" w14:textId="77777777" w:rsidR="00435822" w:rsidRDefault="008B7ACC">
            <w:pPr>
              <w:pStyle w:val="Compact"/>
            </w:pPr>
            <w:r>
              <w:t xml:space="preserve">Compare </w:t>
            </w:r>
            <w:r>
              <w:rPr>
                <w:i/>
                <w:iCs/>
              </w:rPr>
              <w:t>membership</w:t>
            </w:r>
            <w:r>
              <w:t>, not counts. The correct result is that the new report is a strict superset of the old one — enforced as test T-23 and re-checked in production during the parallel run.</w:t>
            </w:r>
          </w:p>
        </w:tc>
      </w:tr>
      <w:tr w:rsidR="00435822" w14:paraId="57F750CB" w14:textId="77777777">
        <w:tc>
          <w:tcPr>
            <w:tcW w:w="0" w:type="auto"/>
          </w:tcPr>
          <w:p w14:paraId="27A51EF7" w14:textId="77777777" w:rsidR="00435822" w:rsidRDefault="008B7ACC">
            <w:pPr>
              <w:pStyle w:val="Compact"/>
            </w:pPr>
            <w:r>
              <w:t>3</w:t>
            </w:r>
          </w:p>
        </w:tc>
        <w:tc>
          <w:tcPr>
            <w:tcW w:w="0" w:type="auto"/>
          </w:tcPr>
          <w:p w14:paraId="04A1AED1" w14:textId="77777777" w:rsidR="00435822" w:rsidRDefault="008B7ACC">
            <w:pPr>
              <w:pStyle w:val="Compact"/>
            </w:pPr>
            <w:r>
              <w:rPr>
                <w:b/>
                <w:bCs/>
              </w:rPr>
              <w:t>The Ansible path keeps its defects until retired.</w:t>
            </w:r>
            <w:r>
              <w:t xml:space="preserve"> This deliverable does not fix </w:t>
            </w:r>
            <w:r>
              <w:rPr>
                <w:rStyle w:val="VerbatimChar"/>
              </w:rPr>
              <w:t>cvs_functions.ps1</w:t>
            </w:r>
            <w:r>
              <w:t>.</w:t>
            </w:r>
          </w:p>
        </w:tc>
        <w:tc>
          <w:tcPr>
            <w:tcW w:w="0" w:type="auto"/>
          </w:tcPr>
          <w:p w14:paraId="49BC4D89" w14:textId="77777777" w:rsidR="00435822" w:rsidRDefault="008B7ACC">
            <w:pPr>
              <w:pStyle w:val="Compact"/>
            </w:pPr>
            <w:r>
              <w:t>Accepted deliberately: the script is being taken out of the path entirely. Keep the parallel-run overlap short and do not treat the Ansible output as the reference.</w:t>
            </w:r>
          </w:p>
        </w:tc>
      </w:tr>
      <w:tr w:rsidR="00435822" w14:paraId="53EBD6B8" w14:textId="77777777">
        <w:tc>
          <w:tcPr>
            <w:tcW w:w="0" w:type="auto"/>
          </w:tcPr>
          <w:p w14:paraId="45E35549" w14:textId="77777777" w:rsidR="00435822" w:rsidRDefault="008B7ACC">
            <w:pPr>
              <w:pStyle w:val="Compact"/>
            </w:pPr>
            <w:r>
              <w:t>4</w:t>
            </w:r>
          </w:p>
        </w:tc>
        <w:tc>
          <w:tcPr>
            <w:tcW w:w="0" w:type="auto"/>
          </w:tcPr>
          <w:p w14:paraId="3D4BADAF" w14:textId="77777777" w:rsidR="00435822" w:rsidRDefault="008B7ACC">
            <w:pPr>
              <w:pStyle w:val="Compact"/>
            </w:pPr>
            <w:r>
              <w:rPr>
                <w:b/>
                <w:bCs/>
              </w:rPr>
              <w:t>Delivery moves from the Windows host to the Orchestrator appliance.</w:t>
            </w:r>
            <w:r>
              <w:t xml:space="preserve"> The SMTP relay must accept submission from a new source.</w:t>
            </w:r>
          </w:p>
        </w:tc>
        <w:tc>
          <w:tcPr>
            <w:tcW w:w="0" w:type="auto"/>
          </w:tcPr>
          <w:p w14:paraId="1B52D616" w14:textId="77777777" w:rsidR="00435822" w:rsidRDefault="008B7ACC">
            <w:pPr>
              <w:pStyle w:val="Compact"/>
            </w:pPr>
            <w:r>
              <w:t>Verified as a deployment step before the first scheduled run.</w:t>
            </w:r>
          </w:p>
        </w:tc>
      </w:tr>
      <w:tr w:rsidR="00435822" w14:paraId="61C0C904" w14:textId="77777777">
        <w:tc>
          <w:tcPr>
            <w:tcW w:w="0" w:type="auto"/>
          </w:tcPr>
          <w:p w14:paraId="19992AAF" w14:textId="77777777" w:rsidR="00435822" w:rsidRDefault="008B7ACC">
            <w:pPr>
              <w:pStyle w:val="Compact"/>
            </w:pPr>
            <w:r>
              <w:t>5</w:t>
            </w:r>
          </w:p>
        </w:tc>
        <w:tc>
          <w:tcPr>
            <w:tcW w:w="0" w:type="auto"/>
          </w:tcPr>
          <w:p w14:paraId="24074D40" w14:textId="77777777" w:rsidR="00435822" w:rsidRDefault="008B7ACC">
            <w:pPr>
              <w:pStyle w:val="Compact"/>
            </w:pPr>
            <w:r>
              <w:rPr>
                <w:b/>
                <w:bCs/>
              </w:rPr>
              <w:t>Two configuration values are ambiguous in the source.</w:t>
            </w:r>
            <w:r>
              <w:t xml:space="preserve"> The script sets the top threshold to 90 with a comment saying it should be 95; the process is named for 75% but the floor is 70%.</w:t>
            </w:r>
          </w:p>
        </w:tc>
        <w:tc>
          <w:tcPr>
            <w:tcW w:w="0" w:type="auto"/>
          </w:tcPr>
          <w:p w14:paraId="472B4347" w14:textId="77777777" w:rsidR="00435822" w:rsidRDefault="008B7ACC">
            <w:pPr>
              <w:pStyle w:val="Compact"/>
            </w:pPr>
            <w:r>
              <w:t>Both preserved as-is and exposed as workflow inputs. Flagged for customer decision — Change Register §1B.</w:t>
            </w:r>
          </w:p>
        </w:tc>
      </w:tr>
    </w:tbl>
    <w:p w14:paraId="3BEC9092" w14:textId="77777777" w:rsidR="00435822" w:rsidRDefault="008B7ACC">
      <w:r>
        <w:pict w14:anchorId="118A2D0F">
          <v:rect id="_x0000_i1030" style="width:0;height:1.5pt" o:hralign="center" o:hrstd="t" o:hr="t"/>
        </w:pict>
      </w:r>
    </w:p>
    <w:p w14:paraId="7D72FD03" w14:textId="77777777" w:rsidR="00435822" w:rsidRDefault="008B7ACC">
      <w:pPr>
        <w:pStyle w:val="Heading2"/>
      </w:pPr>
      <w:bookmarkStart w:id="12" w:name="Xa68bc3cfa573072f3dfb7ce624c083d39ae4d10"/>
      <w:bookmarkStart w:id="13" w:name="_Toc237256657"/>
      <w:bookmarkEnd w:id="10"/>
      <w:r>
        <w:t>Defects found in the customer's existing automation</w:t>
      </w:r>
      <w:bookmarkEnd w:id="13"/>
    </w:p>
    <w:p w14:paraId="3F616356" w14:textId="77777777" w:rsidR="00435822" w:rsidRDefault="008B7ACC">
      <w:pPr>
        <w:pStyle w:val="FirstParagraph"/>
      </w:pPr>
      <w:r>
        <w:t>Six, all silent, all affecting the report as it runs today independently of this transition. Four of them mean the report being received is not the report the recipients believe they are receiving.</w:t>
      </w:r>
    </w:p>
    <w:tbl>
      <w:tblPr>
        <w:tblStyle w:val="Table"/>
        <w:tblW w:w="0" w:type="auto"/>
        <w:tblLook w:val="0020" w:firstRow="1" w:lastRow="0" w:firstColumn="0" w:lastColumn="0" w:noHBand="0" w:noVBand="0"/>
      </w:tblPr>
      <w:tblGrid>
        <w:gridCol w:w="4310"/>
        <w:gridCol w:w="5266"/>
      </w:tblGrid>
      <w:tr w:rsidR="00435822" w14:paraId="5D4B7E04" w14:textId="77777777" w:rsidTr="00435822">
        <w:trPr>
          <w:cnfStyle w:val="100000000000" w:firstRow="1" w:lastRow="0" w:firstColumn="0" w:lastColumn="0" w:oddVBand="0" w:evenVBand="0" w:oddHBand="0" w:evenHBand="0" w:firstRowFirstColumn="0" w:firstRowLastColumn="0" w:lastRowFirstColumn="0" w:lastRowLastColumn="0"/>
          <w:tblHeader/>
        </w:trPr>
        <w:tc>
          <w:tcPr>
            <w:tcW w:w="0" w:type="auto"/>
          </w:tcPr>
          <w:p w14:paraId="162CAED7" w14:textId="77777777" w:rsidR="00435822" w:rsidRDefault="008B7ACC">
            <w:pPr>
              <w:pStyle w:val="Compact"/>
            </w:pPr>
            <w:r>
              <w:t>Defect</w:t>
            </w:r>
          </w:p>
        </w:tc>
        <w:tc>
          <w:tcPr>
            <w:tcW w:w="0" w:type="auto"/>
          </w:tcPr>
          <w:p w14:paraId="4B3C245A" w14:textId="77777777" w:rsidR="00435822" w:rsidRDefault="008B7ACC">
            <w:pPr>
              <w:pStyle w:val="Compact"/>
            </w:pPr>
            <w:r>
              <w:t>Real-world effect today</w:t>
            </w:r>
          </w:p>
        </w:tc>
      </w:tr>
      <w:tr w:rsidR="00435822" w14:paraId="284DCCFF" w14:textId="77777777">
        <w:tc>
          <w:tcPr>
            <w:tcW w:w="0" w:type="auto"/>
          </w:tcPr>
          <w:p w14:paraId="342E39D1" w14:textId="77777777" w:rsidR="00435822" w:rsidRDefault="008B7ACC">
            <w:pPr>
              <w:pStyle w:val="Compact"/>
            </w:pPr>
            <w:r>
              <w:t>Collection requires uncommitted space to exceed free space</w:t>
            </w:r>
          </w:p>
        </w:tc>
        <w:tc>
          <w:tcPr>
            <w:tcW w:w="0" w:type="auto"/>
          </w:tcPr>
          <w:p w14:paraId="6C6CE303" w14:textId="77777777" w:rsidR="00435822" w:rsidRDefault="008B7ACC">
            <w:pPr>
              <w:pStyle w:val="Compact"/>
            </w:pPr>
            <w:r>
              <w:rPr>
                <w:b/>
                <w:bCs/>
              </w:rPr>
              <w:t>A datastore at 99% used is not reported unless it is also overcommitted</w:t>
            </w:r>
          </w:p>
        </w:tc>
      </w:tr>
      <w:tr w:rsidR="00435822" w14:paraId="14FFE7C9" w14:textId="77777777">
        <w:tc>
          <w:tcPr>
            <w:tcW w:w="0" w:type="auto"/>
          </w:tcPr>
          <w:p w14:paraId="4BBE237C" w14:textId="77777777" w:rsidR="00435822" w:rsidRDefault="008B7ACC">
            <w:pPr>
              <w:pStyle w:val="Compact"/>
            </w:pPr>
            <w:r>
              <w:t xml:space="preserve">No </w:t>
            </w:r>
            <w:r>
              <w:rPr>
                <w:rStyle w:val="VerbatimChar"/>
              </w:rPr>
              <w:t>try</w:t>
            </w:r>
            <w:r>
              <w:t>/</w:t>
            </w:r>
            <w:r>
              <w:rPr>
                <w:rStyle w:val="VerbatimChar"/>
              </w:rPr>
              <w:t>catch</w:t>
            </w:r>
            <w:r>
              <w:t xml:space="preserve"> around </w:t>
            </w:r>
            <w:r>
              <w:rPr>
                <w:rStyle w:val="VerbatimChar"/>
              </w:rPr>
              <w:t>Connect-VIServer</w:t>
            </w:r>
          </w:p>
        </w:tc>
        <w:tc>
          <w:tcPr>
            <w:tcW w:w="0" w:type="auto"/>
          </w:tcPr>
          <w:p w14:paraId="58642583" w14:textId="77777777" w:rsidR="00435822" w:rsidRDefault="008B7ACC">
            <w:pPr>
              <w:pStyle w:val="Compact"/>
            </w:pPr>
            <w:r>
              <w:rPr>
                <w:b/>
                <w:bCs/>
              </w:rPr>
              <w:t>One unreachable vCenter out of five ends the run and emails nothing at all</w:t>
            </w:r>
          </w:p>
        </w:tc>
      </w:tr>
      <w:tr w:rsidR="00435822" w14:paraId="6A115D2D" w14:textId="77777777">
        <w:tc>
          <w:tcPr>
            <w:tcW w:w="0" w:type="auto"/>
          </w:tcPr>
          <w:p w14:paraId="386BD1A7" w14:textId="77777777" w:rsidR="00435822" w:rsidRDefault="008B7ACC">
            <w:pPr>
              <w:pStyle w:val="Compact"/>
            </w:pPr>
            <w:r>
              <w:t>No divide-by-zero guard on datastore capacity</w:t>
            </w:r>
          </w:p>
        </w:tc>
        <w:tc>
          <w:tcPr>
            <w:tcW w:w="0" w:type="auto"/>
          </w:tcPr>
          <w:p w14:paraId="1B56C006" w14:textId="77777777" w:rsidR="00435822" w:rsidRDefault="008B7ACC">
            <w:pPr>
              <w:pStyle w:val="Compact"/>
            </w:pPr>
            <w:r>
              <w:rPr>
                <w:b/>
                <w:bCs/>
              </w:rPr>
              <w:t>One decommissioned datastore anywhere in the estate ends the run the same way</w:t>
            </w:r>
          </w:p>
        </w:tc>
      </w:tr>
      <w:tr w:rsidR="00435822" w14:paraId="5709F569" w14:textId="77777777">
        <w:tc>
          <w:tcPr>
            <w:tcW w:w="0" w:type="auto"/>
          </w:tcPr>
          <w:p w14:paraId="37306DA0" w14:textId="77777777" w:rsidR="00435822" w:rsidRDefault="008B7ACC">
            <w:pPr>
              <w:pStyle w:val="Compact"/>
            </w:pPr>
            <w:r>
              <w:rPr>
                <w:rStyle w:val="VerbatimChar"/>
              </w:rPr>
              <w:t>Sort-Object -Property Datastore -Unique</w:t>
            </w:r>
            <w:r>
              <w:t xml:space="preserve"> de-duplicates on </w:t>
            </w:r>
            <w:r>
              <w:rPr>
                <w:b/>
                <w:bCs/>
              </w:rPr>
              <w:t>name</w:t>
            </w:r>
          </w:p>
        </w:tc>
        <w:tc>
          <w:tcPr>
            <w:tcW w:w="0" w:type="auto"/>
          </w:tcPr>
          <w:p w14:paraId="57EA6AA4" w14:textId="77777777" w:rsidR="00435822" w:rsidRDefault="008B7ACC">
            <w:pPr>
              <w:pStyle w:val="Compact"/>
            </w:pPr>
            <w:r>
              <w:rPr>
                <w:b/>
                <w:bCs/>
              </w:rPr>
              <w:t>Identically named datastores on different vCenters are silently discarded</w:t>
            </w:r>
          </w:p>
        </w:tc>
      </w:tr>
      <w:tr w:rsidR="00435822" w14:paraId="2D7490EA" w14:textId="77777777">
        <w:tc>
          <w:tcPr>
            <w:tcW w:w="0" w:type="auto"/>
          </w:tcPr>
          <w:p w14:paraId="3418A333" w14:textId="77777777" w:rsidR="00435822" w:rsidRDefault="008B7ACC">
            <w:pPr>
              <w:pStyle w:val="Compact"/>
            </w:pPr>
            <w:r>
              <w:t>Band comparisons leave gaps</w:t>
            </w:r>
          </w:p>
        </w:tc>
        <w:tc>
          <w:tcPr>
            <w:tcW w:w="0" w:type="auto"/>
          </w:tcPr>
          <w:p w14:paraId="30399E24" w14:textId="77777777" w:rsidR="00435822" w:rsidRDefault="008B7ACC">
            <w:pPr>
              <w:pStyle w:val="Compact"/>
            </w:pPr>
            <w:r>
              <w:rPr>
                <w:b/>
                <w:bCs/>
              </w:rPr>
              <w:t>A datastore at exactly 90.00%, 89.99%, 80.00% or 70.00% is shown nowhere</w:t>
            </w:r>
          </w:p>
        </w:tc>
      </w:tr>
      <w:tr w:rsidR="00435822" w14:paraId="5B656633" w14:textId="77777777">
        <w:tc>
          <w:tcPr>
            <w:tcW w:w="0" w:type="auto"/>
          </w:tcPr>
          <w:p w14:paraId="6BE81F92" w14:textId="77777777" w:rsidR="00435822" w:rsidRDefault="008B7ACC">
            <w:pPr>
              <w:pStyle w:val="Compact"/>
            </w:pPr>
            <w:r>
              <w:t>Mail subject counts the top band only</w:t>
            </w:r>
          </w:p>
        </w:tc>
        <w:tc>
          <w:tcPr>
            <w:tcW w:w="0" w:type="auto"/>
          </w:tcPr>
          <w:p w14:paraId="43101794" w14:textId="77777777" w:rsidR="00435822" w:rsidRDefault="008B7ACC">
            <w:pPr>
              <w:pStyle w:val="Compact"/>
            </w:pPr>
            <w:r>
              <w:t xml:space="preserve">A subject reading </w:t>
            </w:r>
            <w:r>
              <w:rPr>
                <w:b/>
                <w:bCs/>
              </w:rPr>
              <w:t>"0 Datastores @ 90%"</w:t>
            </w:r>
            <w:r>
              <w:t xml:space="preserve"> while fifty sit at 89%</w:t>
            </w:r>
          </w:p>
        </w:tc>
      </w:tr>
    </w:tbl>
    <w:p w14:paraId="5C0E9FC5" w14:textId="77777777" w:rsidR="00435822" w:rsidRDefault="008B7ACC">
      <w:pPr>
        <w:pStyle w:val="BodyText"/>
      </w:pPr>
      <w:r>
        <w:t xml:space="preserve">Full detail, including why each is silent, is in </w:t>
      </w:r>
      <w:r>
        <w:rPr>
          <w:b/>
          <w:bCs/>
        </w:rPr>
        <w:t>Change-Register.md §1A</w:t>
      </w:r>
      <w:r>
        <w:t>.</w:t>
      </w:r>
    </w:p>
    <w:p w14:paraId="38144253" w14:textId="77777777" w:rsidR="00435822" w:rsidRDefault="008B7ACC">
      <w:r>
        <w:pict w14:anchorId="7CEF54B0">
          <v:rect id="_x0000_i1031" style="width:0;height:1.5pt" o:hralign="center" o:hrstd="t" o:hr="t"/>
        </w:pict>
      </w:r>
    </w:p>
    <w:p w14:paraId="7C414A5B" w14:textId="77777777" w:rsidR="00435822" w:rsidRDefault="008B7ACC">
      <w:pPr>
        <w:pStyle w:val="Heading2"/>
      </w:pPr>
      <w:bookmarkStart w:id="14" w:name="status-and-next-steps"/>
      <w:bookmarkStart w:id="15" w:name="_Toc237256658"/>
      <w:bookmarkEnd w:id="12"/>
      <w:r>
        <w:t>Status and next steps</w:t>
      </w:r>
      <w:bookmarkEnd w:id="15"/>
    </w:p>
    <w:tbl>
      <w:tblPr>
        <w:tblStyle w:val="Table"/>
        <w:tblW w:w="0" w:type="auto"/>
        <w:tblLook w:val="0020" w:firstRow="1" w:lastRow="0" w:firstColumn="0" w:lastColumn="0" w:noHBand="0" w:noVBand="0"/>
      </w:tblPr>
      <w:tblGrid>
        <w:gridCol w:w="5082"/>
        <w:gridCol w:w="4494"/>
      </w:tblGrid>
      <w:tr w:rsidR="00435822" w14:paraId="4B4580BE" w14:textId="77777777" w:rsidTr="00435822">
        <w:trPr>
          <w:cnfStyle w:val="100000000000" w:firstRow="1" w:lastRow="0" w:firstColumn="0" w:lastColumn="0" w:oddVBand="0" w:evenVBand="0" w:oddHBand="0" w:evenHBand="0" w:firstRowFirstColumn="0" w:firstRowLastColumn="0" w:lastRowFirstColumn="0" w:lastRowLastColumn="0"/>
          <w:tblHeader/>
        </w:trPr>
        <w:tc>
          <w:tcPr>
            <w:tcW w:w="0" w:type="auto"/>
          </w:tcPr>
          <w:p w14:paraId="6FCE8DF3" w14:textId="77777777" w:rsidR="00435822" w:rsidRDefault="008B7ACC">
            <w:pPr>
              <w:pStyle w:val="Compact"/>
            </w:pPr>
            <w:r>
              <w:t>Step</w:t>
            </w:r>
          </w:p>
        </w:tc>
        <w:tc>
          <w:tcPr>
            <w:tcW w:w="0" w:type="auto"/>
          </w:tcPr>
          <w:p w14:paraId="62289E15" w14:textId="77777777" w:rsidR="00435822" w:rsidRDefault="008B7ACC">
            <w:pPr>
              <w:pStyle w:val="Compact"/>
            </w:pPr>
            <w:r>
              <w:t>State</w:t>
            </w:r>
          </w:p>
        </w:tc>
      </w:tr>
      <w:tr w:rsidR="00435822" w14:paraId="783800BF" w14:textId="77777777">
        <w:tc>
          <w:tcPr>
            <w:tcW w:w="0" w:type="auto"/>
          </w:tcPr>
          <w:p w14:paraId="4468CF31" w14:textId="77777777" w:rsidR="00435822" w:rsidRDefault="008B7ACC">
            <w:pPr>
              <w:pStyle w:val="Compact"/>
            </w:pPr>
            <w:r>
              <w:t>Workflow, actions and exception handling built</w:t>
            </w:r>
          </w:p>
        </w:tc>
        <w:tc>
          <w:tcPr>
            <w:tcW w:w="0" w:type="auto"/>
          </w:tcPr>
          <w:p w14:paraId="03E1604C" w14:textId="77777777" w:rsidR="00435822" w:rsidRDefault="008B7ACC">
            <w:pPr>
              <w:pStyle w:val="Compact"/>
            </w:pPr>
            <w:r>
              <w:t>Complete</w:t>
            </w:r>
          </w:p>
        </w:tc>
      </w:tr>
      <w:tr w:rsidR="00435822" w14:paraId="40E7890F" w14:textId="77777777">
        <w:tc>
          <w:tcPr>
            <w:tcW w:w="0" w:type="auto"/>
          </w:tcPr>
          <w:p w14:paraId="1781A7FC" w14:textId="77777777" w:rsidR="00435822" w:rsidRDefault="008B7ACC">
            <w:pPr>
              <w:pStyle w:val="Compact"/>
            </w:pPr>
            <w:r>
              <w:t>Offline test harness — 112 assertions, 23 scenarios</w:t>
            </w:r>
          </w:p>
        </w:tc>
        <w:tc>
          <w:tcPr>
            <w:tcW w:w="0" w:type="auto"/>
          </w:tcPr>
          <w:p w14:paraId="6416271E" w14:textId="77777777" w:rsidR="00435822" w:rsidRDefault="008B7ACC">
            <w:pPr>
              <w:pStyle w:val="Compact"/>
            </w:pPr>
            <w:r>
              <w:t>Complete, passing</w:t>
            </w:r>
          </w:p>
        </w:tc>
      </w:tr>
      <w:tr w:rsidR="00435822" w14:paraId="548FB4B0" w14:textId="77777777">
        <w:tc>
          <w:tcPr>
            <w:tcW w:w="0" w:type="auto"/>
          </w:tcPr>
          <w:p w14:paraId="0D81D227" w14:textId="77777777" w:rsidR="00435822" w:rsidRDefault="008B7ACC">
            <w:pPr>
              <w:pStyle w:val="Compact"/>
            </w:pPr>
            <w:r>
              <w:t>Documentation set and change register</w:t>
            </w:r>
          </w:p>
        </w:tc>
        <w:tc>
          <w:tcPr>
            <w:tcW w:w="0" w:type="auto"/>
          </w:tcPr>
          <w:p w14:paraId="4867E381" w14:textId="77777777" w:rsidR="00435822" w:rsidRDefault="008B7ACC">
            <w:pPr>
              <w:pStyle w:val="Compact"/>
            </w:pPr>
            <w:r>
              <w:t>Complete</w:t>
            </w:r>
          </w:p>
        </w:tc>
      </w:tr>
      <w:tr w:rsidR="00435822" w14:paraId="4D6AC0AB" w14:textId="77777777">
        <w:tc>
          <w:tcPr>
            <w:tcW w:w="0" w:type="auto"/>
          </w:tcPr>
          <w:p w14:paraId="2813A233" w14:textId="77777777" w:rsidR="00435822" w:rsidRDefault="008B7ACC">
            <w:pPr>
              <w:pStyle w:val="Compact"/>
            </w:pPr>
            <w:r>
              <w:t>Package import and lab validation against real vCenters</w:t>
            </w:r>
          </w:p>
        </w:tc>
        <w:tc>
          <w:tcPr>
            <w:tcW w:w="0" w:type="auto"/>
          </w:tcPr>
          <w:p w14:paraId="14424556" w14:textId="77777777" w:rsidR="00435822" w:rsidRDefault="008B7ACC">
            <w:pPr>
              <w:pStyle w:val="Compact"/>
            </w:pPr>
            <w:r>
              <w:rPr>
                <w:b/>
                <w:bCs/>
              </w:rPr>
              <w:t>Pending</w:t>
            </w:r>
          </w:p>
        </w:tc>
      </w:tr>
      <w:tr w:rsidR="00435822" w14:paraId="533695B7" w14:textId="77777777">
        <w:tc>
          <w:tcPr>
            <w:tcW w:w="0" w:type="auto"/>
          </w:tcPr>
          <w:p w14:paraId="136E4474" w14:textId="77777777" w:rsidR="00435822" w:rsidRDefault="008B7ACC">
            <w:pPr>
              <w:pStyle w:val="Compact"/>
            </w:pPr>
            <w:r>
              <w:t>Recipient briefing</w:t>
            </w:r>
          </w:p>
        </w:tc>
        <w:tc>
          <w:tcPr>
            <w:tcW w:w="0" w:type="auto"/>
          </w:tcPr>
          <w:p w14:paraId="0844D1F0" w14:textId="77777777" w:rsidR="00435822" w:rsidRDefault="008B7ACC">
            <w:pPr>
              <w:pStyle w:val="Compact"/>
            </w:pPr>
            <w:r>
              <w:rPr>
                <w:b/>
                <w:bCs/>
              </w:rPr>
              <w:t>Pending — required before first scheduled send</w:t>
            </w:r>
          </w:p>
        </w:tc>
      </w:tr>
      <w:tr w:rsidR="00435822" w14:paraId="4018DCB9" w14:textId="77777777">
        <w:tc>
          <w:tcPr>
            <w:tcW w:w="0" w:type="auto"/>
          </w:tcPr>
          <w:p w14:paraId="701A69CA" w14:textId="77777777" w:rsidR="00435822" w:rsidRDefault="008B7ACC">
            <w:pPr>
              <w:pStyle w:val="Compact"/>
            </w:pPr>
            <w:r>
              <w:t>Parallel run against the Ansible report</w:t>
            </w:r>
          </w:p>
        </w:tc>
        <w:tc>
          <w:tcPr>
            <w:tcW w:w="0" w:type="auto"/>
          </w:tcPr>
          <w:p w14:paraId="40596232" w14:textId="77777777" w:rsidR="00435822" w:rsidRDefault="008B7ACC">
            <w:pPr>
              <w:pStyle w:val="Compact"/>
            </w:pPr>
            <w:r>
              <w:rPr>
                <w:b/>
                <w:bCs/>
              </w:rPr>
              <w:t>Pending</w:t>
            </w:r>
          </w:p>
        </w:tc>
      </w:tr>
      <w:tr w:rsidR="00435822" w14:paraId="6DE4C408" w14:textId="77777777">
        <w:tc>
          <w:tcPr>
            <w:tcW w:w="0" w:type="auto"/>
          </w:tcPr>
          <w:p w14:paraId="14D886C4" w14:textId="77777777" w:rsidR="00435822" w:rsidRDefault="008B7ACC">
            <w:pPr>
              <w:pStyle w:val="Compact"/>
            </w:pPr>
            <w:r>
              <w:t>Ansible job template retirement</w:t>
            </w:r>
          </w:p>
        </w:tc>
        <w:tc>
          <w:tcPr>
            <w:tcW w:w="0" w:type="auto"/>
          </w:tcPr>
          <w:p w14:paraId="51B6D3B6" w14:textId="77777777" w:rsidR="00435822" w:rsidRDefault="008B7ACC">
            <w:pPr>
              <w:pStyle w:val="Compact"/>
            </w:pPr>
            <w:r>
              <w:t>Pending parallel-run sign-off</w:t>
            </w:r>
          </w:p>
        </w:tc>
      </w:tr>
      <w:bookmarkEnd w:id="0"/>
      <w:bookmarkEnd w:id="14"/>
    </w:tbl>
    <w:p w14:paraId="7C415BB7" w14:textId="77777777" w:rsidR="008B7ACC" w:rsidRDefault="008B7ACC"/>
    <w:sectPr w:rsidR="008B7AC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4E068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A22CFB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41133597">
    <w:abstractNumId w:val="0"/>
  </w:num>
  <w:num w:numId="2" w16cid:durableId="1255674538">
    <w:abstractNumId w:val="1"/>
  </w:num>
  <w:num w:numId="3" w16cid:durableId="18976175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35822"/>
    <w:rsid w:val="00435822"/>
    <w:rsid w:val="0062537B"/>
    <w:rsid w:val="007567BB"/>
    <w:rsid w:val="008B7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67E41"/>
  <w15:docId w15:val="{60145A1E-46B6-4040-8F89-53C562B5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rFonts w:ascii="Calibri" w:eastAsia="Calibri" w:hAnsi="Calibri" w:cs="Calibri"/>
      <w:color w:val="000000"/>
      <w:sz w:val="22"/>
    </w:rPr>
  </w:style>
  <w:style w:type="paragraph" w:styleId="Heading1">
    <w:name w:val="heading 1"/>
    <w:basedOn w:val="Normal"/>
    <w:next w:val="BodyText"/>
    <w:link w:val="Heading1Char"/>
    <w:uiPriority w:val="9"/>
    <w:qFormat/>
    <w:rsid w:val="00A10FD9"/>
    <w:pPr>
      <w:keepNext/>
      <w:keepLines/>
      <w:spacing w:before="400" w:after="120" w:line="252" w:lineRule="auto"/>
      <w:outlineLvl w:val="0"/>
    </w:pPr>
    <w:rPr>
      <w:rFonts w:ascii="Calibri Light" w:eastAsia="Calibri Light" w:hAnsi="Calibri Light" w:cs="Calibri Light"/>
      <w:color w:val="1F3864"/>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line="252" w:lineRule="auto"/>
      <w:outlineLvl w:val="1"/>
    </w:pPr>
    <w:rPr>
      <w:rFonts w:ascii="Calibri Light" w:eastAsia="Calibri Light" w:hAnsi="Calibri Light" w:cs="Calibri Light"/>
      <w:color w:val="2E5C8A"/>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line="252" w:lineRule="auto"/>
      <w:outlineLvl w:val="2"/>
    </w:pPr>
    <w:rPr>
      <w:rFonts w:ascii="Calibri Light" w:eastAsia="Calibri Light" w:hAnsi="Calibri Light" w:cs="Calibri Light"/>
      <w:b/>
      <w:color w:val="44546A"/>
      <w:sz w:val="26"/>
      <w:szCs w:val="28"/>
    </w:rPr>
  </w:style>
  <w:style w:type="paragraph" w:styleId="Heading4">
    <w:name w:val="heading 4"/>
    <w:basedOn w:val="Normal"/>
    <w:next w:val="BodyText"/>
    <w:link w:val="Heading4Char"/>
    <w:uiPriority w:val="9"/>
    <w:semiHidden/>
    <w:unhideWhenUsed/>
    <w:qFormat/>
    <w:rsid w:val="00A10FD9"/>
    <w:pPr>
      <w:keepNext/>
      <w:keepLines/>
      <w:spacing w:before="200" w:after="80" w:line="252" w:lineRule="auto"/>
      <w:outlineLvl w:val="3"/>
    </w:pPr>
    <w:rPr>
      <w:b/>
      <w:i/>
      <w:iCs/>
      <w:color w:val="44546A"/>
    </w:rPr>
  </w:style>
  <w:style w:type="paragraph" w:styleId="Heading5">
    <w:name w:val="heading 5"/>
    <w:basedOn w:val="Normal"/>
    <w:next w:val="BodyText"/>
    <w:link w:val="Heading5Char"/>
    <w:uiPriority w:val="9"/>
    <w:semiHidden/>
    <w:unhideWhenUsed/>
    <w:qFormat/>
    <w:rsid w:val="00A10FD9"/>
    <w:pPr>
      <w:keepNext/>
      <w:keepLines/>
      <w:spacing w:before="200" w:after="80" w:line="252" w:lineRule="auto"/>
      <w:outlineLvl w:val="4"/>
    </w:pPr>
    <w:rPr>
      <w:b/>
      <w:color w:val="595959"/>
    </w:rPr>
  </w:style>
  <w:style w:type="paragraph" w:styleId="Heading6">
    <w:name w:val="heading 6"/>
    <w:basedOn w:val="Normal"/>
    <w:next w:val="BodyText"/>
    <w:link w:val="Heading6Char"/>
    <w:uiPriority w:val="9"/>
    <w:semiHidden/>
    <w:unhideWhenUsed/>
    <w:qFormat/>
    <w:rsid w:val="00A10FD9"/>
    <w:pPr>
      <w:keepNext/>
      <w:keepLines/>
      <w:spacing w:before="200" w:after="80" w:line="252" w:lineRule="auto"/>
      <w:outlineLvl w:val="5"/>
    </w:pPr>
    <w:rPr>
      <w:b/>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80"/>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keepNext/>
      <w:spacing w:after="240" w:line="252" w:lineRule="auto"/>
      <w:contextualSpacing/>
      <w:jc w:val="center"/>
    </w:pPr>
    <w:rPr>
      <w:rFonts w:ascii="Calibri Light" w:eastAsia="Calibri Light" w:hAnsi="Calibri Light" w:cs="Calibri Light"/>
      <w:color w:val="1F3864"/>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320"/>
    </w:pPr>
    <w:rPr>
      <w:color w:val="44546A"/>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rPr>
      <w:color w:val="404040"/>
      <w:sz w:val="21"/>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rFonts w:ascii="Calibri" w:eastAsia="Calibri" w:hAnsi="Calibri" w:cs="Calibri"/>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rPr>
      <w:color w:val="595959"/>
      <w:sz w:val="18"/>
    </w:rPr>
  </w:style>
  <w:style w:type="paragraph" w:customStyle="1" w:styleId="ImageCaption">
    <w:name w:val="Image Caption"/>
    <w:basedOn w:val="Caption"/>
    <w:rPr>
      <w:color w:val="595959"/>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1F1F1F"/>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6"/>
    </w:rPr>
  </w:style>
  <w:style w:type="paragraph" w:customStyle="1" w:styleId="SourceCode">
    <w:name w:val="Source Code"/>
    <w:basedOn w:val="Normal"/>
    <w:link w:val="VerbatimChar"/>
    <w:pPr>
      <w:wordWrap w:val="0"/>
      <w:spacing w:before="120" w:after="200" w:line="240" w:lineRule="auto"/>
    </w:pPr>
    <w:rPr>
      <w:rFonts w:ascii="Consolas" w:eastAsia="Consolas" w:hAnsi="Consolas" w:cs="Consolas"/>
      <w:color w:val="1F1F1F"/>
      <w:sz w:val="19"/>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1F1F1F"/>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1F1F1F"/>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1F1F1F"/>
      <w:sz w:val="19"/>
    </w:rPr>
  </w:style>
  <w:style w:type="paragraph" w:styleId="TOC1">
    <w:name w:val="toc 1"/>
    <w:basedOn w:val="Normal"/>
    <w:next w:val="Normal"/>
    <w:autoRedefine/>
    <w:uiPriority w:val="39"/>
    <w:rsid w:val="0062537B"/>
    <w:pPr>
      <w:spacing w:after="100"/>
    </w:pPr>
  </w:style>
  <w:style w:type="paragraph" w:styleId="TOC2">
    <w:name w:val="toc 2"/>
    <w:basedOn w:val="Normal"/>
    <w:next w:val="Normal"/>
    <w:autoRedefine/>
    <w:uiPriority w:val="39"/>
    <w:rsid w:val="0062537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1016</Words>
  <Characters>5795</Characters>
  <Application>Microsoft Office Word</Application>
  <DocSecurity>0</DocSecurity>
  <Lines>48</Lines>
  <Paragraphs>13</Paragraphs>
  <ScaleCrop>false</ScaleCrop>
  <Company/>
  <LinksUpToDate>false</LinksUpToDate>
  <CharactersWithSpaces>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Jeremy Forguson</cp:lastModifiedBy>
  <cp:revision>2</cp:revision>
  <dcterms:created xsi:type="dcterms:W3CDTF">2026-08-10T16:17:00Z</dcterms:created>
  <dcterms:modified xsi:type="dcterms:W3CDTF">2026-08-10T16:17:00Z</dcterms:modified>
</cp:coreProperties>
</file>