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eastAsia="Calibri" w:hAnsi="Calibri" w:cs="Calibri"/>
          <w:color w:val="000000"/>
          <w:sz w:val="22"/>
          <w:szCs w:val="24"/>
        </w:rPr>
        <w:id w:val="-1191918426"/>
        <w:docPartObj>
          <w:docPartGallery w:val="Table of Contents"/>
          <w:docPartUnique/>
        </w:docPartObj>
      </w:sdtPr>
      <w:sdtEndPr/>
      <w:sdtContent>
        <w:p w14:paraId="6D036926" w14:textId="77777777" w:rsidR="00811130" w:rsidRDefault="00E02DA4">
          <w:pPr>
            <w:pStyle w:val="TOCHeading"/>
          </w:pPr>
          <w:r>
            <w:t>Table of Contents</w:t>
          </w:r>
        </w:p>
        <w:p w14:paraId="2D25C449" w14:textId="0476A9A9" w:rsidR="00DE0957" w:rsidRDefault="00E02DA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6300086" w:history="1">
            <w:r w:rsidR="00DE0957" w:rsidRPr="00582D2B">
              <w:rPr>
                <w:rStyle w:val="Hyperlink"/>
                <w:noProof/>
              </w:rPr>
              <w:t>Executive Summary — Admin Accounts Report</w:t>
            </w:r>
            <w:r w:rsidR="00DE0957">
              <w:rPr>
                <w:noProof/>
                <w:webHidden/>
              </w:rPr>
              <w:tab/>
            </w:r>
            <w:r w:rsidR="00DE0957">
              <w:rPr>
                <w:noProof/>
                <w:webHidden/>
              </w:rPr>
              <w:fldChar w:fldCharType="begin"/>
            </w:r>
            <w:r w:rsidR="00DE0957">
              <w:rPr>
                <w:noProof/>
                <w:webHidden/>
              </w:rPr>
              <w:instrText xml:space="preserve"> PAGEREF _Toc236300086 \h </w:instrText>
            </w:r>
            <w:r w:rsidR="00DE0957">
              <w:rPr>
                <w:noProof/>
                <w:webHidden/>
              </w:rPr>
            </w:r>
            <w:r w:rsidR="00DE0957">
              <w:rPr>
                <w:noProof/>
                <w:webHidden/>
              </w:rPr>
              <w:fldChar w:fldCharType="separate"/>
            </w:r>
            <w:r w:rsidR="00DE0957">
              <w:rPr>
                <w:noProof/>
                <w:webHidden/>
              </w:rPr>
              <w:t>1</w:t>
            </w:r>
            <w:r w:rsidR="00DE0957">
              <w:rPr>
                <w:noProof/>
                <w:webHidden/>
              </w:rPr>
              <w:fldChar w:fldCharType="end"/>
            </w:r>
          </w:hyperlink>
        </w:p>
        <w:p w14:paraId="1CE7FD3D" w14:textId="4D81F653" w:rsidR="00DE0957" w:rsidRDefault="00DE095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300087" w:history="1">
            <w:r w:rsidRPr="00582D2B">
              <w:rPr>
                <w:rStyle w:val="Hyperlink"/>
                <w:noProof/>
              </w:rPr>
              <w:t>Business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_Toc236300087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AC30A" w14:textId="0C8D0530" w:rsidR="00DE0957" w:rsidRDefault="00DE095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300088" w:history="1">
            <w:r w:rsidRPr="00582D2B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_Toc236300088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8FABF" w14:textId="1ACABFBB" w:rsidR="00DE0957" w:rsidRDefault="00DE095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300089" w:history="1">
            <w:r w:rsidRPr="00582D2B">
              <w:rPr>
                <w:rStyle w:val="Hyperlink"/>
                <w:noProof/>
              </w:rPr>
              <w:t>The action is read-only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_Toc236300089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8605A" w14:textId="3E48B18A" w:rsidR="00DE0957" w:rsidRDefault="00DE095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300090" w:history="1">
            <w:r w:rsidRPr="00582D2B">
              <w:rPr>
                <w:rStyle w:val="Hyperlink"/>
                <w:noProof/>
              </w:rPr>
              <w:t>Key benefits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_Toc236300090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55D59" w14:textId="11D69E5F" w:rsidR="00DE0957" w:rsidRDefault="00DE095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300091" w:history="1">
            <w:r w:rsidRPr="00582D2B">
              <w:rPr>
                <w:rStyle w:val="Hyperlink"/>
                <w:noProof/>
              </w:rPr>
              <w:t>Key 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_Toc236300091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AF472" w14:textId="4CBCB8A1" w:rsidR="00DE0957" w:rsidRDefault="00DE095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300092" w:history="1">
            <w:r w:rsidRPr="00582D2B">
              <w:rPr>
                <w:rStyle w:val="Hyperlink"/>
                <w:noProof/>
              </w:rPr>
              <w:t>High-level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_Toc236300092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0C6CE" w14:textId="5160A9E9" w:rsidR="00DE0957" w:rsidRDefault="00DE095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300093" w:history="1">
            <w:r w:rsidRPr="00582D2B">
              <w:rPr>
                <w:rStyle w:val="Hyperlink"/>
                <w:noProof/>
              </w:rPr>
              <w:t>Assurance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_Toc236300093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79D62" w14:textId="6BE7C3F5" w:rsidR="00DE0957" w:rsidRDefault="00DE095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300094" w:history="1">
            <w:r w:rsidRPr="00582D2B">
              <w:rPr>
                <w:rStyle w:val="Hyperlink"/>
                <w:noProof/>
              </w:rPr>
              <w:t>Open items requiring customer decision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_Toc236300094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6C136" w14:textId="05BD9C8F" w:rsidR="00811130" w:rsidRDefault="00E02DA4">
          <w:r>
            <w:fldChar w:fldCharType="end"/>
          </w:r>
        </w:p>
      </w:sdtContent>
    </w:sdt>
    <w:p w14:paraId="03DF065E" w14:textId="77777777" w:rsidR="00811130" w:rsidRDefault="00E02DA4">
      <w:pPr>
        <w:pStyle w:val="Heading1"/>
      </w:pPr>
      <w:bookmarkStart w:id="0" w:name="executive-summary--admin-accounts-report"/>
      <w:bookmarkStart w:id="1" w:name="_Toc236300086"/>
      <w:r>
        <w:t>Executive Summary — Admin Accounts Report</w:t>
      </w:r>
      <w:bookmarkEnd w:id="1"/>
    </w:p>
    <w:p w14:paraId="1E03FE25" w14:textId="77777777" w:rsidR="00811130" w:rsidRDefault="00E02DA4">
      <w:pPr>
        <w:pStyle w:val="Heading2"/>
      </w:pPr>
      <w:bookmarkStart w:id="2" w:name="business-objective"/>
      <w:bookmarkStart w:id="3" w:name="_Toc236300087"/>
      <w:r>
        <w:t>Business objective</w:t>
      </w:r>
      <w:bookmarkEnd w:id="3"/>
    </w:p>
    <w:p w14:paraId="1A399B8C" w14:textId="77777777" w:rsidR="00811130" w:rsidRDefault="00E02DA4">
      <w:pPr>
        <w:pStyle w:val="FirstParagraph"/>
      </w:pPr>
      <w:r>
        <w:t xml:space="preserve">Replace the Ansible admin-account reporting job templates with a single VCF Orchestrator workflow that reports which </w:t>
      </w:r>
      <w:r>
        <w:rPr>
          <w:b/>
          <w:bCs/>
        </w:rPr>
        <w:t>privileged ("admin") accounts do not require a smart card to log on</w:t>
      </w:r>
      <w:r>
        <w:t xml:space="preserve"> — i.e. which privileged accounts sit outside PKI enforcement — across every domain and organisational unit in a supplied scope.</w:t>
      </w:r>
    </w:p>
    <w:p w14:paraId="2F1115FD" w14:textId="77777777" w:rsidR="00811130" w:rsidRDefault="00E02DA4">
      <w:pPr>
        <w:pStyle w:val="BodyText"/>
      </w:pPr>
      <w:r>
        <w:t xml:space="preserve">The output is an HTML report, emailed to the compliance distribution list, with the </w:t>
      </w:r>
      <w:r>
        <w:t>compliant / non-compliant counts in the subject line.</w:t>
      </w:r>
    </w:p>
    <w:p w14:paraId="3D85535E" w14:textId="77777777" w:rsidR="00811130" w:rsidRDefault="00E02DA4">
      <w:pPr>
        <w:pStyle w:val="Heading2"/>
      </w:pPr>
      <w:bookmarkStart w:id="4" w:name="scope"/>
      <w:bookmarkStart w:id="5" w:name="_Toc236300088"/>
      <w:bookmarkEnd w:id="2"/>
      <w:r>
        <w:t>Scope</w:t>
      </w:r>
      <w:bookmarkEnd w:id="5"/>
    </w:p>
    <w:p w14:paraId="3EDC096D" w14:textId="77777777" w:rsidR="00811130" w:rsidRDefault="00E02DA4">
      <w:pPr>
        <w:pStyle w:val="FirstParagraph"/>
      </w:pPr>
      <w:r>
        <w:rPr>
          <w:b/>
          <w:bCs/>
        </w:rPr>
        <w:t>In scope</w:t>
      </w:r>
    </w:p>
    <w:p w14:paraId="1A6270FE" w14:textId="77777777" w:rsidR="00811130" w:rsidRDefault="00E02DA4">
      <w:pPr>
        <w:pStyle w:val="Compact"/>
        <w:numPr>
          <w:ilvl w:val="0"/>
          <w:numId w:val="2"/>
        </w:numPr>
      </w:pPr>
      <w:r>
        <w:t>One workflow (</w:t>
      </w:r>
      <w:r>
        <w:rPr>
          <w:rStyle w:val="VerbatimChar"/>
        </w:rPr>
        <w:t>Get-AdminAccountsReport</w:t>
      </w:r>
      <w:r>
        <w:t xml:space="preserve">) replacing </w:t>
      </w:r>
      <w:r>
        <w:rPr>
          <w:b/>
          <w:bCs/>
        </w:rPr>
        <w:t>three</w:t>
      </w:r>
      <w:r>
        <w:t xml:space="preserve"> Ansible job templates: two multi-domain and one single-OU. Scope differences are now expressed purely as the contents of one input list, not as different templates.</w:t>
      </w:r>
    </w:p>
    <w:p w14:paraId="4D95844F" w14:textId="77777777" w:rsidR="00811130" w:rsidRDefault="00E02DA4">
      <w:pPr>
        <w:pStyle w:val="Compact"/>
        <w:numPr>
          <w:ilvl w:val="0"/>
          <w:numId w:val="2"/>
        </w:numPr>
      </w:pPr>
      <w:r>
        <w:t xml:space="preserve">Reuse of the proven </w:t>
      </w:r>
      <w:r>
        <w:rPr>
          <w:rStyle w:val="VerbatimChar"/>
        </w:rPr>
        <w:t>cvs_functions.ps1</w:t>
      </w:r>
      <w:r>
        <w:t xml:space="preserve"> PowerShell toolbox via Orchestrator's PowerShell plug-in. Orchestrator supplies the scope and classifies the result; all </w:t>
      </w:r>
      <w:r>
        <w:t>Active Directory querying, the compliance split, the counts and the report/mail happen inside the script.</w:t>
      </w:r>
    </w:p>
    <w:p w14:paraId="7C01A1D6" w14:textId="77777777" w:rsidR="00811130" w:rsidRDefault="00E02DA4">
      <w:pPr>
        <w:pStyle w:val="Compact"/>
        <w:numPr>
          <w:ilvl w:val="0"/>
          <w:numId w:val="2"/>
        </w:numPr>
      </w:pPr>
      <w:r>
        <w:t>Consolidation of a divergent second copy of that toolbox (</w:t>
      </w:r>
      <w:r>
        <w:rPr>
          <w:rStyle w:val="VerbatimChar"/>
        </w:rPr>
        <w:t>cvs_functions-v2.ps1</w:t>
      </w:r>
      <w:r>
        <w:t>) back into the single shared script.</w:t>
      </w:r>
    </w:p>
    <w:p w14:paraId="65AA9875" w14:textId="77777777" w:rsidR="00811130" w:rsidRDefault="00E02DA4">
      <w:pPr>
        <w:pStyle w:val="FirstParagraph"/>
      </w:pPr>
      <w:r>
        <w:rPr>
          <w:b/>
          <w:bCs/>
        </w:rPr>
        <w:t>Out of scope</w:t>
      </w:r>
    </w:p>
    <w:p w14:paraId="5CA7BB4F" w14:textId="77777777" w:rsidR="00811130" w:rsidRDefault="00E02DA4">
      <w:pPr>
        <w:pStyle w:val="Compact"/>
        <w:numPr>
          <w:ilvl w:val="0"/>
          <w:numId w:val="3"/>
        </w:numPr>
      </w:pPr>
      <w:r>
        <w:t>Accounts outside the supplied OUs. The report is only as complete as its OU list.</w:t>
      </w:r>
    </w:p>
    <w:p w14:paraId="29C9BABD" w14:textId="77777777" w:rsidR="00811130" w:rsidRDefault="00E02DA4">
      <w:pPr>
        <w:pStyle w:val="Compact"/>
        <w:numPr>
          <w:ilvl w:val="0"/>
          <w:numId w:val="3"/>
        </w:numPr>
      </w:pPr>
      <w:r>
        <w:t xml:space="preserve">Any modification of Active Directory. This workflow is </w:t>
      </w:r>
      <w:r>
        <w:rPr>
          <w:b/>
          <w:bCs/>
        </w:rPr>
        <w:t>strictly read-only</w:t>
      </w:r>
      <w:r>
        <w:t>.</w:t>
      </w:r>
    </w:p>
    <w:p w14:paraId="3B0DB3DC" w14:textId="77777777" w:rsidR="00811130" w:rsidRDefault="00E02DA4">
      <w:pPr>
        <w:pStyle w:val="Compact"/>
        <w:numPr>
          <w:ilvl w:val="0"/>
          <w:numId w:val="3"/>
        </w:numPr>
      </w:pPr>
      <w:r>
        <w:t xml:space="preserve">The </w:t>
      </w:r>
      <w:r>
        <w:rPr>
          <w:rStyle w:val="VerbatimChar"/>
        </w:rPr>
        <w:t>Set-L3-Admin-Accounts</w:t>
      </w:r>
      <w:r>
        <w:t xml:space="preserve"> capability in the same script, which </w:t>
      </w:r>
      <w:r>
        <w:rPr>
          <w:i/>
          <w:iCs/>
        </w:rPr>
        <w:t>writes</w:t>
      </w:r>
      <w:r>
        <w:t xml:space="preserve"> the </w:t>
      </w:r>
      <w:r>
        <w:t xml:space="preserve">smart-card attribute in bulk. It is deliberately </w:t>
      </w:r>
      <w:r>
        <w:rPr>
          <w:b/>
          <w:bCs/>
        </w:rPr>
        <w:t>not exposed</w:t>
      </w:r>
      <w:r>
        <w:t xml:space="preserve"> by this package.</w:t>
      </w:r>
    </w:p>
    <w:p w14:paraId="17B9D88A" w14:textId="77777777" w:rsidR="00811130" w:rsidRDefault="00E02DA4">
      <w:pPr>
        <w:pStyle w:val="Heading2"/>
      </w:pPr>
      <w:bookmarkStart w:id="6" w:name="the-action-is-read-only"/>
      <w:bookmarkStart w:id="7" w:name="_Toc236300089"/>
      <w:bookmarkEnd w:id="4"/>
      <w:r>
        <w:t>The action is read-only</w:t>
      </w:r>
      <w:bookmarkEnd w:id="7"/>
    </w:p>
    <w:p w14:paraId="4FB4E2E6" w14:textId="77777777" w:rsidR="00811130" w:rsidRDefault="00E02DA4">
      <w:pPr>
        <w:pStyle w:val="FirstParagraph"/>
      </w:pPr>
      <w:r>
        <w:t xml:space="preserve">The workflow issues </w:t>
      </w:r>
      <w:r>
        <w:rPr>
          <w:rStyle w:val="VerbatimChar"/>
        </w:rPr>
        <w:t>Get-ADUser</w:t>
      </w:r>
      <w:r>
        <w:t xml:space="preserve"> queries and sends an email. It cannot create, modify, disable or delete any directory object. There is consequently no "what-if"/preview gate — there is nothing to gate.</w:t>
      </w:r>
    </w:p>
    <w:p w14:paraId="6971774E" w14:textId="77777777" w:rsidR="00811130" w:rsidRDefault="00E02DA4">
      <w:pPr>
        <w:pStyle w:val="Heading2"/>
      </w:pPr>
      <w:bookmarkStart w:id="8" w:name="key-benefits"/>
      <w:bookmarkStart w:id="9" w:name="_Toc236300090"/>
      <w:bookmarkEnd w:id="6"/>
      <w:r>
        <w:t>Key benefits</w:t>
      </w:r>
      <w:bookmarkEnd w:id="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65"/>
        <w:gridCol w:w="7011"/>
      </w:tblGrid>
      <w:tr w:rsidR="00811130" w14:paraId="4DF00CD0" w14:textId="77777777" w:rsidTr="008111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FADECD" w14:textId="77777777" w:rsidR="00811130" w:rsidRDefault="00811130">
            <w:pPr>
              <w:pStyle w:val="Compact"/>
            </w:pPr>
          </w:p>
        </w:tc>
        <w:tc>
          <w:tcPr>
            <w:tcW w:w="0" w:type="auto"/>
          </w:tcPr>
          <w:p w14:paraId="734234CA" w14:textId="77777777" w:rsidR="00811130" w:rsidRDefault="00811130">
            <w:pPr>
              <w:pStyle w:val="Compact"/>
            </w:pPr>
          </w:p>
        </w:tc>
      </w:tr>
      <w:tr w:rsidR="00811130" w14:paraId="46CB578F" w14:textId="77777777">
        <w:tc>
          <w:tcPr>
            <w:tcW w:w="0" w:type="auto"/>
          </w:tcPr>
          <w:p w14:paraId="0D2862E7" w14:textId="77777777" w:rsidR="00811130" w:rsidRDefault="00E02DA4">
            <w:pPr>
              <w:pStyle w:val="Compact"/>
            </w:pPr>
            <w:r>
              <w:rPr>
                <w:b/>
                <w:bCs/>
              </w:rPr>
              <w:t>Three templates become one</w:t>
            </w:r>
          </w:p>
        </w:tc>
        <w:tc>
          <w:tcPr>
            <w:tcW w:w="0" w:type="auto"/>
          </w:tcPr>
          <w:p w14:paraId="6166FB80" w14:textId="77777777" w:rsidR="00811130" w:rsidRDefault="00E02DA4">
            <w:pPr>
              <w:pStyle w:val="Compact"/>
            </w:pPr>
            <w:r>
              <w:t>Single- and multi-domain reporting were never different operations, only different scopes. One workflow, one report format, one place to change behaviour.</w:t>
            </w:r>
          </w:p>
        </w:tc>
      </w:tr>
      <w:tr w:rsidR="00811130" w14:paraId="3644FF7E" w14:textId="77777777">
        <w:tc>
          <w:tcPr>
            <w:tcW w:w="0" w:type="auto"/>
          </w:tcPr>
          <w:p w14:paraId="01EADEAC" w14:textId="77777777" w:rsidR="00811130" w:rsidRDefault="00E02DA4">
            <w:pPr>
              <w:pStyle w:val="Compact"/>
            </w:pPr>
            <w:r>
              <w:rPr>
                <w:b/>
                <w:bCs/>
              </w:rPr>
              <w:t>Failures are visible to the people who act on them</w:t>
            </w:r>
          </w:p>
        </w:tc>
        <w:tc>
          <w:tcPr>
            <w:tcW w:w="0" w:type="auto"/>
          </w:tcPr>
          <w:p w14:paraId="2A6D182B" w14:textId="77777777" w:rsidR="00811130" w:rsidRDefault="00E02DA4">
            <w:pPr>
              <w:pStyle w:val="Compact"/>
            </w:pPr>
            <w:r>
              <w:t xml:space="preserve">An OU that cannot be read is reported </w:t>
            </w:r>
            <w:r>
              <w:rPr>
                <w:b/>
                <w:bCs/>
              </w:rPr>
              <w:t>on the report itself</w:t>
            </w:r>
            <w:r>
              <w:t xml:space="preserve"> — banner, per-OU flag, and an </w:t>
            </w:r>
            <w:r>
              <w:rPr>
                <w:rStyle w:val="VerbatimChar"/>
              </w:rPr>
              <w:t>[INCOMPLETE]</w:t>
            </w:r>
            <w:r>
              <w:t xml:space="preserve"> subject prefix — not just in the Orchestrator log.</w:t>
            </w:r>
          </w:p>
        </w:tc>
      </w:tr>
      <w:tr w:rsidR="00811130" w14:paraId="4220DE98" w14:textId="77777777">
        <w:tc>
          <w:tcPr>
            <w:tcW w:w="0" w:type="auto"/>
          </w:tcPr>
          <w:p w14:paraId="100A5566" w14:textId="77777777" w:rsidR="00811130" w:rsidRDefault="00E02DA4">
            <w:pPr>
              <w:pStyle w:val="Compact"/>
            </w:pPr>
            <w:r>
              <w:rPr>
                <w:b/>
                <w:bCs/>
              </w:rPr>
              <w:t>Failures are explained, not just reported</w:t>
            </w:r>
          </w:p>
        </w:tc>
        <w:tc>
          <w:tcPr>
            <w:tcW w:w="0" w:type="auto"/>
          </w:tcPr>
          <w:p w14:paraId="777AEE9C" w14:textId="77777777" w:rsidR="00811130" w:rsidRDefault="00E02DA4">
            <w:pPr>
              <w:pStyle w:val="Compact"/>
            </w:pPr>
            <w:r>
              <w:t>Each failure is classified (scope error / unreachable / access denied / authentication) with guidance on who fixes it. A referral and a dead domain controller are different problems with different responses.</w:t>
            </w:r>
          </w:p>
        </w:tc>
      </w:tr>
      <w:tr w:rsidR="00811130" w14:paraId="139186A6" w14:textId="77777777">
        <w:tc>
          <w:tcPr>
            <w:tcW w:w="0" w:type="auto"/>
          </w:tcPr>
          <w:p w14:paraId="020833E1" w14:textId="77777777" w:rsidR="00811130" w:rsidRDefault="00E02DA4">
            <w:pPr>
              <w:pStyle w:val="Compact"/>
            </w:pPr>
            <w:r>
              <w:rPr>
                <w:b/>
                <w:bCs/>
              </w:rPr>
              <w:t>Management-readable output</w:t>
            </w:r>
          </w:p>
        </w:tc>
        <w:tc>
          <w:tcPr>
            <w:tcW w:w="0" w:type="auto"/>
          </w:tcPr>
          <w:p w14:paraId="0FBAFD3B" w14:textId="77777777" w:rsidR="00811130" w:rsidRDefault="00E02DA4">
            <w:pPr>
              <w:pStyle w:val="Compact"/>
            </w:pPr>
            <w:r>
              <w:t>Executive summary, per-domain status, then per-OU detail — answering "which domain and OU are worst?" without reading the whole table.</w:t>
            </w:r>
          </w:p>
        </w:tc>
      </w:tr>
      <w:tr w:rsidR="00811130" w14:paraId="4694D647" w14:textId="77777777">
        <w:tc>
          <w:tcPr>
            <w:tcW w:w="0" w:type="auto"/>
          </w:tcPr>
          <w:p w14:paraId="50E739FD" w14:textId="77777777" w:rsidR="00811130" w:rsidRDefault="00E02DA4">
            <w:pPr>
              <w:pStyle w:val="Compact"/>
            </w:pPr>
            <w:r>
              <w:rPr>
                <w:b/>
                <w:bCs/>
              </w:rPr>
              <w:t>Counts can be trusted</w:t>
            </w:r>
          </w:p>
        </w:tc>
        <w:tc>
          <w:tcPr>
            <w:tcW w:w="0" w:type="auto"/>
          </w:tcPr>
          <w:p w14:paraId="51A874C7" w14:textId="77777777" w:rsidR="00811130" w:rsidRDefault="00E02DA4">
            <w:pPr>
              <w:pStyle w:val="Compact"/>
            </w:pPr>
            <w:r>
              <w:t>Overlapping OU entries no longer inflate the figures; each account is counted exactly once.</w:t>
            </w:r>
          </w:p>
        </w:tc>
      </w:tr>
      <w:tr w:rsidR="00811130" w14:paraId="2C278CE5" w14:textId="77777777">
        <w:tc>
          <w:tcPr>
            <w:tcW w:w="0" w:type="auto"/>
          </w:tcPr>
          <w:p w14:paraId="56ED2F6B" w14:textId="77777777" w:rsidR="00811130" w:rsidRDefault="00E02DA4">
            <w:pPr>
              <w:pStyle w:val="Compact"/>
            </w:pPr>
            <w:r>
              <w:rPr>
                <w:b/>
                <w:bCs/>
              </w:rPr>
              <w:t>One shared script again</w:t>
            </w:r>
          </w:p>
        </w:tc>
        <w:tc>
          <w:tcPr>
            <w:tcW w:w="0" w:type="auto"/>
          </w:tcPr>
          <w:p w14:paraId="6440FC9A" w14:textId="77777777" w:rsidR="00811130" w:rsidRDefault="00E02DA4">
            <w:pPr>
              <w:pStyle w:val="Compact"/>
            </w:pPr>
            <w:r>
              <w:t>The divergent fork is retired, ending the risk of fixes landing in only one copy.</w:t>
            </w:r>
          </w:p>
        </w:tc>
      </w:tr>
    </w:tbl>
    <w:p w14:paraId="0454E4B8" w14:textId="77777777" w:rsidR="00811130" w:rsidRDefault="00E02DA4">
      <w:pPr>
        <w:pStyle w:val="Heading2"/>
      </w:pPr>
      <w:bookmarkStart w:id="10" w:name="key-risks"/>
      <w:bookmarkStart w:id="11" w:name="_Toc236300091"/>
      <w:bookmarkEnd w:id="8"/>
      <w:r>
        <w:t>Key risks</w:t>
      </w:r>
      <w:bookmarkEnd w:id="1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555"/>
        <w:gridCol w:w="5021"/>
      </w:tblGrid>
      <w:tr w:rsidR="00811130" w14:paraId="1E6521E4" w14:textId="77777777" w:rsidTr="008111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D70ACF" w14:textId="77777777" w:rsidR="00811130" w:rsidRDefault="00E02DA4">
            <w:pPr>
              <w:pStyle w:val="Compact"/>
            </w:pPr>
            <w:r>
              <w:t>Risk</w:t>
            </w:r>
          </w:p>
        </w:tc>
        <w:tc>
          <w:tcPr>
            <w:tcW w:w="0" w:type="auto"/>
          </w:tcPr>
          <w:p w14:paraId="1FC6883C" w14:textId="77777777" w:rsidR="00811130" w:rsidRDefault="00E02DA4">
            <w:pPr>
              <w:pStyle w:val="Compact"/>
            </w:pPr>
            <w:r>
              <w:t>Mitigation</w:t>
            </w:r>
          </w:p>
        </w:tc>
      </w:tr>
      <w:tr w:rsidR="00811130" w14:paraId="01DF714A" w14:textId="77777777">
        <w:tc>
          <w:tcPr>
            <w:tcW w:w="0" w:type="auto"/>
          </w:tcPr>
          <w:p w14:paraId="28D1F53B" w14:textId="77777777" w:rsidR="00811130" w:rsidRDefault="00E02DA4">
            <w:pPr>
              <w:pStyle w:val="Compact"/>
            </w:pPr>
            <w:r>
              <w:rPr>
                <w:b/>
                <w:bCs/>
              </w:rPr>
              <w:t>The report is only as complete as its OU list.</w:t>
            </w:r>
            <w:r>
              <w:t xml:space="preserve"> </w:t>
            </w:r>
            <w:r>
              <w:t>A privileged account outside the supplied OUs is not reported and not counted.</w:t>
            </w:r>
          </w:p>
        </w:tc>
        <w:tc>
          <w:tcPr>
            <w:tcW w:w="0" w:type="auto"/>
          </w:tcPr>
          <w:p w14:paraId="19B9A444" w14:textId="77777777" w:rsidR="00811130" w:rsidRDefault="00E02DA4">
            <w:pPr>
              <w:pStyle w:val="Compact"/>
            </w:pPr>
            <w:r>
              <w:t>The scope is listed in full on every report. Confirm the OU list against the directory during validation.</w:t>
            </w:r>
          </w:p>
        </w:tc>
      </w:tr>
      <w:tr w:rsidR="00811130" w14:paraId="7BEBC8D8" w14:textId="77777777">
        <w:tc>
          <w:tcPr>
            <w:tcW w:w="0" w:type="auto"/>
          </w:tcPr>
          <w:p w14:paraId="7409DA47" w14:textId="77777777" w:rsidR="00811130" w:rsidRDefault="00E02DA4">
            <w:pPr>
              <w:pStyle w:val="Compact"/>
            </w:pPr>
            <w:r>
              <w:rPr>
                <w:b/>
                <w:bCs/>
              </w:rPr>
              <w:t>"Admin account" means "any user object in an admin OU"</w:t>
            </w:r>
            <w:r>
              <w:t xml:space="preserve"> — there is no privilege or group filter. Service accounts in those OUs are counted.</w:t>
            </w:r>
          </w:p>
        </w:tc>
        <w:tc>
          <w:tcPr>
            <w:tcW w:w="0" w:type="auto"/>
          </w:tcPr>
          <w:p w14:paraId="3907D10E" w14:textId="77777777" w:rsidR="00811130" w:rsidRDefault="00E02DA4">
            <w:pPr>
              <w:pStyle w:val="Compact"/>
            </w:pPr>
            <w:r>
              <w:t>Documented in the Design Document and User Guide. See open items below.</w:t>
            </w:r>
          </w:p>
        </w:tc>
      </w:tr>
      <w:tr w:rsidR="00811130" w14:paraId="3D460485" w14:textId="77777777">
        <w:tc>
          <w:tcPr>
            <w:tcW w:w="0" w:type="auto"/>
          </w:tcPr>
          <w:p w14:paraId="1F85009B" w14:textId="77777777" w:rsidR="00811130" w:rsidRDefault="00E02DA4">
            <w:pPr>
              <w:pStyle w:val="Compact"/>
            </w:pPr>
            <w:r>
              <w:rPr>
                <w:b/>
                <w:bCs/>
              </w:rPr>
              <w:t>Disabled accounts are included in the non-compliance figure.</w:t>
            </w:r>
          </w:p>
        </w:tc>
        <w:tc>
          <w:tcPr>
            <w:tcW w:w="0" w:type="auto"/>
          </w:tcPr>
          <w:p w14:paraId="4C74F0C8" w14:textId="77777777" w:rsidR="00811130" w:rsidRDefault="00E02DA4">
            <w:pPr>
              <w:pStyle w:val="Compact"/>
            </w:pPr>
            <w:r>
              <w:t xml:space="preserve">Confirmed as the customer's intended metric. An </w:t>
            </w:r>
            <w:r>
              <w:rPr>
                <w:b/>
                <w:bCs/>
              </w:rPr>
              <w:t>Account state</w:t>
            </w:r>
            <w:r>
              <w:t xml:space="preserve"> column now makes the composition visible without changing the number.</w:t>
            </w:r>
          </w:p>
        </w:tc>
      </w:tr>
      <w:tr w:rsidR="00811130" w14:paraId="1637F58F" w14:textId="77777777">
        <w:tc>
          <w:tcPr>
            <w:tcW w:w="0" w:type="auto"/>
          </w:tcPr>
          <w:p w14:paraId="42283051" w14:textId="77777777" w:rsidR="00811130" w:rsidRDefault="00E02DA4">
            <w:pPr>
              <w:pStyle w:val="Compact"/>
            </w:pPr>
            <w:r>
              <w:t>A partial sweep could previously be mistaken for a clean run.</w:t>
            </w:r>
          </w:p>
        </w:tc>
        <w:tc>
          <w:tcPr>
            <w:tcW w:w="0" w:type="auto"/>
          </w:tcPr>
          <w:p w14:paraId="1AD270A4" w14:textId="77777777" w:rsidR="00811130" w:rsidRDefault="00E02DA4">
            <w:pPr>
              <w:pStyle w:val="Compact"/>
            </w:pPr>
            <w:r>
              <w:t xml:space="preserve">Fixed. An unreadable OU now produces an error line, an </w:t>
            </w:r>
            <w:r>
              <w:rPr>
                <w:rStyle w:val="VerbatimChar"/>
              </w:rPr>
              <w:t>[INCOMPLETE]</w:t>
            </w:r>
            <w:r>
              <w:t xml:space="preserve"> subject and an on-report banner; the run ends </w:t>
            </w:r>
            <w:r>
              <w:rPr>
                <w:i/>
                <w:iCs/>
              </w:rPr>
              <w:t>Completed with Errors</w:t>
            </w:r>
            <w:r>
              <w:t>.</w:t>
            </w:r>
          </w:p>
        </w:tc>
      </w:tr>
      <w:tr w:rsidR="00811130" w14:paraId="04DBBAE6" w14:textId="77777777">
        <w:tc>
          <w:tcPr>
            <w:tcW w:w="0" w:type="auto"/>
          </w:tcPr>
          <w:p w14:paraId="7BD42857" w14:textId="77777777" w:rsidR="00811130" w:rsidRDefault="00E02DA4">
            <w:pPr>
              <w:pStyle w:val="Compact"/>
            </w:pPr>
            <w:r>
              <w:t>Report format changes from the current Ansible output.</w:t>
            </w:r>
          </w:p>
        </w:tc>
        <w:tc>
          <w:tcPr>
            <w:tcW w:w="0" w:type="auto"/>
          </w:tcPr>
          <w:p w14:paraId="151C970E" w14:textId="77777777" w:rsidR="00811130" w:rsidRDefault="00E02DA4">
            <w:pPr>
              <w:pStyle w:val="Compact"/>
            </w:pPr>
            <w:r>
              <w:t>Brief recipients before the first scheduled run. Rendered samples are available for review.</w:t>
            </w:r>
          </w:p>
        </w:tc>
      </w:tr>
      <w:tr w:rsidR="00811130" w14:paraId="37F8D5CD" w14:textId="77777777">
        <w:tc>
          <w:tcPr>
            <w:tcW w:w="0" w:type="auto"/>
          </w:tcPr>
          <w:p w14:paraId="7C9DAF9D" w14:textId="77777777" w:rsidR="00811130" w:rsidRDefault="00E02DA4">
            <w:pPr>
              <w:pStyle w:val="Compact"/>
            </w:pPr>
            <w:r>
              <w:t xml:space="preserve">First run after deployment may show </w:t>
            </w:r>
            <w:r>
              <w:rPr>
                <w:b/>
                <w:bCs/>
              </w:rPr>
              <w:t>lower</w:t>
            </w:r>
            <w:r>
              <w:t xml:space="preserve"> counts than the Ansible report.</w:t>
            </w:r>
          </w:p>
        </w:tc>
        <w:tc>
          <w:tcPr>
            <w:tcW w:w="0" w:type="auto"/>
          </w:tcPr>
          <w:p w14:paraId="486724BA" w14:textId="77777777" w:rsidR="00811130" w:rsidRDefault="00E02DA4">
            <w:pPr>
              <w:pStyle w:val="Compact"/>
            </w:pPr>
            <w:r>
              <w:t>Expected if the OU list overlaps — it is the de-duplication correcting an inflated figure, not a regression. Verify during validation and explain before cutover.</w:t>
            </w:r>
          </w:p>
        </w:tc>
      </w:tr>
    </w:tbl>
    <w:p w14:paraId="602EF855" w14:textId="77777777" w:rsidR="00811130" w:rsidRDefault="00E02DA4">
      <w:pPr>
        <w:pStyle w:val="Heading2"/>
      </w:pPr>
      <w:bookmarkStart w:id="12" w:name="high-level-approach"/>
      <w:bookmarkStart w:id="13" w:name="_Toc236300092"/>
      <w:bookmarkEnd w:id="10"/>
      <w:r>
        <w:t>High-level approach</w:t>
      </w:r>
      <w:bookmarkEnd w:id="13"/>
    </w:p>
    <w:p w14:paraId="04F9AD13" w14:textId="77777777" w:rsidR="00811130" w:rsidRDefault="00E02DA4">
      <w:pPr>
        <w:pStyle w:val="Compact"/>
        <w:numPr>
          <w:ilvl w:val="0"/>
          <w:numId w:val="4"/>
        </w:numPr>
      </w:pPr>
      <w:r>
        <w:t>Operator (or a schedule) supplies a list of OU distinguishedNames and mail settings.</w:t>
      </w:r>
    </w:p>
    <w:p w14:paraId="79715D5C" w14:textId="77777777" w:rsidR="00811130" w:rsidRDefault="00E02DA4">
      <w:pPr>
        <w:pStyle w:val="Compact"/>
        <w:numPr>
          <w:ilvl w:val="0"/>
          <w:numId w:val="4"/>
        </w:numPr>
      </w:pPr>
      <w:r>
        <w:t xml:space="preserve">An Orchestrator action groups the OUs by domain — </w:t>
      </w:r>
      <w:r>
        <w:rPr>
          <w:b/>
          <w:bCs/>
        </w:rPr>
        <w:t>derived from each DN itself</w:t>
      </w:r>
      <w:r>
        <w:t xml:space="preserve"> — and builds the PowerShell invocation.</w:t>
      </w:r>
    </w:p>
    <w:p w14:paraId="0D1779C0" w14:textId="77777777" w:rsidR="00811130" w:rsidRDefault="00E02DA4">
      <w:pPr>
        <w:pStyle w:val="Compact"/>
        <w:numPr>
          <w:ilvl w:val="0"/>
          <w:numId w:val="4"/>
        </w:numPr>
      </w:pPr>
      <w:r>
        <w:t xml:space="preserve">The OOTB </w:t>
      </w:r>
      <w:r>
        <w:rPr>
          <w:i/>
          <w:iCs/>
        </w:rPr>
        <w:t>Invoke a PowerShell script</w:t>
      </w:r>
      <w:r>
        <w:t xml:space="preserve"> workflow runs it on a pre-bound PowerShell host.</w:t>
      </w:r>
    </w:p>
    <w:p w14:paraId="58A680CF" w14:textId="77777777" w:rsidR="00811130" w:rsidRDefault="00E02DA4">
      <w:pPr>
        <w:pStyle w:val="Compact"/>
        <w:numPr>
          <w:ilvl w:val="0"/>
          <w:numId w:val="4"/>
        </w:numPr>
      </w:pPr>
      <w:r>
        <w:t>The script queries every OU, de-duplicates, builds the report and emails it.</w:t>
      </w:r>
    </w:p>
    <w:p w14:paraId="06A858AC" w14:textId="77777777" w:rsidR="00811130" w:rsidRDefault="00E02DA4">
      <w:pPr>
        <w:pStyle w:val="Compact"/>
        <w:numPr>
          <w:ilvl w:val="0"/>
          <w:numId w:val="4"/>
        </w:numPr>
      </w:pPr>
      <w:r>
        <w:t>Orchestrator classifies the transcript and routes to a success or completed-with-errors end state.</w:t>
      </w:r>
    </w:p>
    <w:p w14:paraId="035E7F4D" w14:textId="77777777" w:rsidR="00811130" w:rsidRDefault="00E02DA4">
      <w:pPr>
        <w:pStyle w:val="FirstParagraph"/>
      </w:pPr>
      <w:r>
        <w:rPr>
          <w:b/>
          <w:bCs/>
        </w:rPr>
        <w:t>Deployment is independent.</w:t>
      </w:r>
      <w:r>
        <w:t xml:space="preserve"> Orchestrator and the existing Ansible automation use </w:t>
      </w:r>
      <w:r>
        <w:rPr>
          <w:b/>
          <w:bCs/>
        </w:rPr>
        <w:t>separate PowerShell hosts in both development and production</w:t>
      </w:r>
      <w:r>
        <w:t>. Deploying this solution cannot affect any running Ansible job, so there is no cross-team deployment sequencing to coordinate.</w:t>
      </w:r>
    </w:p>
    <w:p w14:paraId="5B466505" w14:textId="77777777" w:rsidR="00811130" w:rsidRDefault="00E02DA4">
      <w:pPr>
        <w:pStyle w:val="Heading2"/>
      </w:pPr>
      <w:bookmarkStart w:id="14" w:name="assurance"/>
      <w:bookmarkStart w:id="15" w:name="_Toc236300093"/>
      <w:bookmarkEnd w:id="12"/>
      <w:r>
        <w:t>Assurance</w:t>
      </w:r>
      <w:bookmarkEnd w:id="15"/>
    </w:p>
    <w:p w14:paraId="369E4590" w14:textId="77777777" w:rsidR="00811130" w:rsidRDefault="00E02DA4">
      <w:pPr>
        <w:pStyle w:val="FirstParagraph"/>
      </w:pPr>
      <w:r>
        <w:t>191 automated checks run offline — no Active Directory, SMTP, PowerShell host or Orchestrator appliance required — covering the invocation building, the escaping boundary between JavaScript and PowerShell, the report rendering, and the workflow's own scriptable-task code. These are a delivery gate, not a one-off: they load the functions under test out of the live files, so they cannot drift from shipping code.</w:t>
      </w:r>
    </w:p>
    <w:p w14:paraId="70DF697F" w14:textId="77777777" w:rsidR="00811130" w:rsidRDefault="00E02DA4">
      <w:pPr>
        <w:pStyle w:val="BodyText"/>
      </w:pPr>
      <w:r>
        <w:t xml:space="preserve">Directory querying, mail delivery and Outlook rendering require the lab and are </w:t>
      </w:r>
      <w:r>
        <w:t>covered by the Validation &amp; Testing Plan.</w:t>
      </w:r>
    </w:p>
    <w:p w14:paraId="45DF1237" w14:textId="77777777" w:rsidR="00811130" w:rsidRDefault="00E02DA4">
      <w:pPr>
        <w:pStyle w:val="Heading2"/>
      </w:pPr>
      <w:bookmarkStart w:id="16" w:name="open-items-requiring-customer-decision"/>
      <w:bookmarkStart w:id="17" w:name="_Toc236300094"/>
      <w:bookmarkEnd w:id="14"/>
      <w:r>
        <w:t>Open items requiring customer decision</w:t>
      </w:r>
      <w:bookmarkEnd w:id="1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01"/>
        <w:gridCol w:w="7875"/>
      </w:tblGrid>
      <w:tr w:rsidR="00811130" w14:paraId="460716CA" w14:textId="77777777" w:rsidTr="008111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9CAA32C" w14:textId="77777777" w:rsidR="00811130" w:rsidRDefault="00E02DA4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0DE284A3" w14:textId="77777777" w:rsidR="00811130" w:rsidRDefault="00E02DA4">
            <w:pPr>
              <w:pStyle w:val="Compact"/>
            </w:pPr>
            <w:r>
              <w:t>Decision needed</w:t>
            </w:r>
          </w:p>
        </w:tc>
      </w:tr>
      <w:tr w:rsidR="00811130" w14:paraId="72B6B0BB" w14:textId="77777777">
        <w:tc>
          <w:tcPr>
            <w:tcW w:w="0" w:type="auto"/>
          </w:tcPr>
          <w:p w14:paraId="1902185B" w14:textId="77777777" w:rsidR="00811130" w:rsidRDefault="00E02DA4">
            <w:pPr>
              <w:pStyle w:val="Compact"/>
            </w:pPr>
            <w:r>
              <w:rPr>
                <w:b/>
                <w:bCs/>
              </w:rPr>
              <w:t>Report wording</w:t>
            </w:r>
          </w:p>
        </w:tc>
        <w:tc>
          <w:tcPr>
            <w:tcW w:w="0" w:type="auto"/>
          </w:tcPr>
          <w:p w14:paraId="006D0DCA" w14:textId="77777777" w:rsidR="00811130" w:rsidRDefault="00E02DA4">
            <w:pPr>
              <w:pStyle w:val="Compact"/>
            </w:pPr>
            <w:r>
              <w:t>"Not enforced" is placeholder wording. If the customer has established compliance language, the report should adopt it. Labels only; no logic change.</w:t>
            </w:r>
          </w:p>
        </w:tc>
      </w:tr>
      <w:tr w:rsidR="00811130" w14:paraId="074B6DD0" w14:textId="77777777">
        <w:tc>
          <w:tcPr>
            <w:tcW w:w="0" w:type="auto"/>
          </w:tcPr>
          <w:p w14:paraId="65A6F888" w14:textId="77777777" w:rsidR="00811130" w:rsidRDefault="00E02DA4">
            <w:pPr>
              <w:pStyle w:val="Compact"/>
            </w:pPr>
            <w:r>
              <w:rPr>
                <w:b/>
                <w:bCs/>
              </w:rPr>
              <w:t>Service-account exemptions</w:t>
            </w:r>
          </w:p>
        </w:tc>
        <w:tc>
          <w:tcPr>
            <w:tcW w:w="0" w:type="auto"/>
          </w:tcPr>
          <w:p w14:paraId="519975DD" w14:textId="77777777" w:rsidR="00811130" w:rsidRDefault="00E02DA4">
            <w:pPr>
              <w:pStyle w:val="Compact"/>
            </w:pPr>
            <w:r>
              <w:t xml:space="preserve">A service account legitimately exempt from smart-card enforcement is reported as non-compliant on every run. There is no allow-list. Options: an exemption input, a </w:t>
            </w:r>
            <w:r>
              <w:rPr>
                <w:rStyle w:val="VerbatimChar"/>
              </w:rPr>
              <w:t>Description</w:t>
            </w:r>
            <w:r>
              <w:t xml:space="preserve"> </w:t>
            </w:r>
            <w:r>
              <w:t>convention, or accept the recurring noise. Until resolved, expect a persistent non-compliance floor.</w:t>
            </w:r>
          </w:p>
        </w:tc>
      </w:tr>
    </w:tbl>
    <w:p w14:paraId="73C085D2" w14:textId="77777777" w:rsidR="00811130" w:rsidRDefault="00E02DA4">
      <w:pPr>
        <w:pStyle w:val="BodyText"/>
      </w:pPr>
      <w:r>
        <w:t>Neither blocks deployment; both affect how the report reads in production.</w:t>
      </w:r>
      <w:bookmarkEnd w:id="0"/>
      <w:bookmarkEnd w:id="16"/>
    </w:p>
    <w:sectPr w:rsidR="0081113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8548B1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F72468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3AED9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78062499">
    <w:abstractNumId w:val="0"/>
  </w:num>
  <w:num w:numId="2" w16cid:durableId="2086607728">
    <w:abstractNumId w:val="1"/>
  </w:num>
  <w:num w:numId="3" w16cid:durableId="466970471">
    <w:abstractNumId w:val="1"/>
  </w:num>
  <w:num w:numId="4" w16cid:durableId="9056466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1130"/>
    <w:rsid w:val="00811130"/>
    <w:rsid w:val="00AA1ED8"/>
    <w:rsid w:val="00DE0957"/>
    <w:rsid w:val="00E02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9F48A"/>
  <w15:docId w15:val="{29892278-6839-4C32-908E-077E043D9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76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400" w:after="120" w:line="252" w:lineRule="auto"/>
      <w:outlineLvl w:val="0"/>
    </w:pPr>
    <w:rPr>
      <w:rFonts w:ascii="Calibri Light" w:eastAsia="Calibri Light" w:hAnsi="Calibri Light" w:cs="Calibri Light"/>
      <w:color w:val="1F3864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80" w:after="80" w:line="252" w:lineRule="auto"/>
      <w:outlineLvl w:val="1"/>
    </w:pPr>
    <w:rPr>
      <w:rFonts w:ascii="Calibri Light" w:eastAsia="Calibri Light" w:hAnsi="Calibri Light" w:cs="Calibri Light"/>
      <w:color w:val="2E5C8A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80" w:line="252" w:lineRule="auto"/>
      <w:outlineLvl w:val="2"/>
    </w:pPr>
    <w:rPr>
      <w:rFonts w:ascii="Calibri Light" w:eastAsia="Calibri Light" w:hAnsi="Calibri Light" w:cs="Calibri Light"/>
      <w:b/>
      <w:color w:val="44546A"/>
      <w:sz w:val="26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00" w:after="80" w:line="252" w:lineRule="auto"/>
      <w:outlineLvl w:val="3"/>
    </w:pPr>
    <w:rPr>
      <w:b/>
      <w:i/>
      <w:iCs/>
      <w:color w:val="44546A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00" w:after="80" w:line="252" w:lineRule="auto"/>
      <w:outlineLvl w:val="4"/>
    </w:pPr>
    <w:rPr>
      <w:b/>
      <w:color w:val="595959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200" w:after="80" w:line="252" w:lineRule="auto"/>
      <w:outlineLvl w:val="5"/>
    </w:pPr>
    <w:rPr>
      <w:b/>
      <w:i/>
      <w:iCs/>
      <w:color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after="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/>
      <w:spacing w:after="240" w:line="252" w:lineRule="auto"/>
      <w:contextualSpacing/>
      <w:jc w:val="center"/>
    </w:pPr>
    <w:rPr>
      <w:rFonts w:ascii="Calibri Light" w:eastAsia="Calibri Light" w:hAnsi="Calibri Light" w:cs="Calibri Light"/>
      <w:color w:val="1F3864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320"/>
    </w:pPr>
    <w:rPr>
      <w:color w:val="44546A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  <w:rPr>
      <w:color w:val="404040"/>
      <w:sz w:val="21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Pr>
      <w:rFonts w:ascii="Calibri" w:eastAsia="Calibri" w:hAnsi="Calibri" w:cs="Calibri"/>
      <w:sz w:val="20"/>
      <w:szCs w:val="20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  <w:rPr>
      <w:color w:val="595959"/>
      <w:sz w:val="18"/>
    </w:rPr>
  </w:style>
  <w:style w:type="paragraph" w:customStyle="1" w:styleId="ImageCaption">
    <w:name w:val="Image Caption"/>
    <w:basedOn w:val="Caption"/>
    <w:rPr>
      <w:color w:val="595959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eastAsia="Consolas" w:hAnsi="Consolas" w:cs="Consolas"/>
      <w:color w:val="1F1F1F"/>
      <w:sz w:val="19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sz w:val="36"/>
    </w:rPr>
  </w:style>
  <w:style w:type="paragraph" w:customStyle="1" w:styleId="SourceCode">
    <w:name w:val="Source Code"/>
    <w:basedOn w:val="Normal"/>
    <w:link w:val="VerbatimChar"/>
    <w:pPr>
      <w:wordWrap w:val="0"/>
      <w:spacing w:before="120" w:after="200" w:line="240" w:lineRule="auto"/>
    </w:pPr>
    <w:rPr>
      <w:rFonts w:ascii="Consolas" w:eastAsia="Consolas" w:hAnsi="Consolas" w:cs="Consolas"/>
      <w:color w:val="1F1F1F"/>
      <w:sz w:val="19"/>
    </w:rPr>
  </w:style>
  <w:style w:type="character" w:customStyle="1" w:styleId="KeywordTok">
    <w:name w:val="KeywordTok"/>
    <w:basedOn w:val="VerbatimChar"/>
    <w:rPr>
      <w:rFonts w:ascii="Consolas" w:eastAsia="Consolas" w:hAnsi="Consolas" w:cs="Consolas"/>
      <w:b/>
      <w:color w:val="007020"/>
      <w:sz w:val="19"/>
    </w:rPr>
  </w:style>
  <w:style w:type="character" w:customStyle="1" w:styleId="DataTypeTok">
    <w:name w:val="DataTypeTok"/>
    <w:basedOn w:val="VerbatimChar"/>
    <w:rPr>
      <w:rFonts w:ascii="Consolas" w:eastAsia="Consolas" w:hAnsi="Consolas" w:cs="Consolas"/>
      <w:color w:val="902000"/>
      <w:sz w:val="19"/>
    </w:rPr>
  </w:style>
  <w:style w:type="character" w:customStyle="1" w:styleId="DecValTok">
    <w:name w:val="DecVal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BaseNTok">
    <w:name w:val="BaseN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FloatTok">
    <w:name w:val="Float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ConstantTok">
    <w:name w:val="ConstantTok"/>
    <w:basedOn w:val="VerbatimChar"/>
    <w:rPr>
      <w:rFonts w:ascii="Consolas" w:eastAsia="Consolas" w:hAnsi="Consolas" w:cs="Consolas"/>
      <w:color w:val="880000"/>
      <w:sz w:val="19"/>
    </w:rPr>
  </w:style>
  <w:style w:type="character" w:customStyle="1" w:styleId="CharTok">
    <w:name w:val="Char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pecialCharTok">
    <w:name w:val="SpecialChar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tringTok">
    <w:name w:val="String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VerbatimStringTok">
    <w:name w:val="VerbatimString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pecialStringTok">
    <w:name w:val="SpecialStringTok"/>
    <w:basedOn w:val="VerbatimChar"/>
    <w:rPr>
      <w:rFonts w:ascii="Consolas" w:eastAsia="Consolas" w:hAnsi="Consolas" w:cs="Consolas"/>
      <w:color w:val="BB6688"/>
      <w:sz w:val="19"/>
    </w:rPr>
  </w:style>
  <w:style w:type="character" w:customStyle="1" w:styleId="ImportTok">
    <w:name w:val="ImportTok"/>
    <w:basedOn w:val="VerbatimChar"/>
    <w:rPr>
      <w:rFonts w:ascii="Consolas" w:eastAsia="Consolas" w:hAnsi="Consolas" w:cs="Consolas"/>
      <w:b/>
      <w:color w:val="008000"/>
      <w:sz w:val="19"/>
    </w:rPr>
  </w:style>
  <w:style w:type="character" w:customStyle="1" w:styleId="CommentTok">
    <w:name w:val="CommentTok"/>
    <w:basedOn w:val="VerbatimChar"/>
    <w:rPr>
      <w:rFonts w:ascii="Consolas" w:eastAsia="Consolas" w:hAnsi="Consolas" w:cs="Consolas"/>
      <w:i/>
      <w:color w:val="60A0B0"/>
      <w:sz w:val="19"/>
    </w:rPr>
  </w:style>
  <w:style w:type="character" w:customStyle="1" w:styleId="DocumentationTok">
    <w:name w:val="DocumentationTok"/>
    <w:basedOn w:val="VerbatimChar"/>
    <w:rPr>
      <w:rFonts w:ascii="Consolas" w:eastAsia="Consolas" w:hAnsi="Consolas" w:cs="Consolas"/>
      <w:i/>
      <w:color w:val="BA2121"/>
      <w:sz w:val="19"/>
    </w:rPr>
  </w:style>
  <w:style w:type="character" w:customStyle="1" w:styleId="AnnotationTok">
    <w:name w:val="Annotation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CommentVarTok">
    <w:name w:val="CommentVar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OtherTok">
    <w:name w:val="OtherTok"/>
    <w:basedOn w:val="VerbatimChar"/>
    <w:rPr>
      <w:rFonts w:ascii="Consolas" w:eastAsia="Consolas" w:hAnsi="Consolas" w:cs="Consolas"/>
      <w:color w:val="007020"/>
      <w:sz w:val="19"/>
    </w:rPr>
  </w:style>
  <w:style w:type="character" w:customStyle="1" w:styleId="FunctionTok">
    <w:name w:val="FunctionTok"/>
    <w:basedOn w:val="VerbatimChar"/>
    <w:rPr>
      <w:rFonts w:ascii="Consolas" w:eastAsia="Consolas" w:hAnsi="Consolas" w:cs="Consolas"/>
      <w:color w:val="06287E"/>
      <w:sz w:val="19"/>
    </w:rPr>
  </w:style>
  <w:style w:type="character" w:customStyle="1" w:styleId="VariableTok">
    <w:name w:val="VariableTok"/>
    <w:basedOn w:val="VerbatimChar"/>
    <w:rPr>
      <w:rFonts w:ascii="Consolas" w:eastAsia="Consolas" w:hAnsi="Consolas" w:cs="Consolas"/>
      <w:color w:val="19177C"/>
      <w:sz w:val="19"/>
    </w:rPr>
  </w:style>
  <w:style w:type="character" w:customStyle="1" w:styleId="ControlFlowTok">
    <w:name w:val="ControlFlowTok"/>
    <w:basedOn w:val="VerbatimChar"/>
    <w:rPr>
      <w:rFonts w:ascii="Consolas" w:eastAsia="Consolas" w:hAnsi="Consolas" w:cs="Consolas"/>
      <w:b/>
      <w:color w:val="007020"/>
      <w:sz w:val="19"/>
    </w:rPr>
  </w:style>
  <w:style w:type="character" w:customStyle="1" w:styleId="OperatorTok">
    <w:name w:val="OperatorTok"/>
    <w:basedOn w:val="VerbatimChar"/>
    <w:rPr>
      <w:rFonts w:ascii="Consolas" w:eastAsia="Consolas" w:hAnsi="Consolas" w:cs="Consolas"/>
      <w:color w:val="666666"/>
      <w:sz w:val="19"/>
    </w:rPr>
  </w:style>
  <w:style w:type="character" w:customStyle="1" w:styleId="BuiltInTok">
    <w:name w:val="BuiltInTok"/>
    <w:basedOn w:val="VerbatimChar"/>
    <w:rPr>
      <w:rFonts w:ascii="Consolas" w:eastAsia="Consolas" w:hAnsi="Consolas" w:cs="Consolas"/>
      <w:color w:val="008000"/>
      <w:sz w:val="19"/>
    </w:rPr>
  </w:style>
  <w:style w:type="character" w:customStyle="1" w:styleId="ExtensionTok">
    <w:name w:val="ExtensionTok"/>
    <w:basedOn w:val="VerbatimChar"/>
    <w:rPr>
      <w:rFonts w:ascii="Consolas" w:eastAsia="Consolas" w:hAnsi="Consolas" w:cs="Consolas"/>
      <w:color w:val="1F1F1F"/>
      <w:sz w:val="19"/>
    </w:rPr>
  </w:style>
  <w:style w:type="character" w:customStyle="1" w:styleId="PreprocessorTok">
    <w:name w:val="PreprocessorTok"/>
    <w:basedOn w:val="VerbatimChar"/>
    <w:rPr>
      <w:rFonts w:ascii="Consolas" w:eastAsia="Consolas" w:hAnsi="Consolas" w:cs="Consolas"/>
      <w:color w:val="BC7A00"/>
      <w:sz w:val="19"/>
    </w:rPr>
  </w:style>
  <w:style w:type="character" w:customStyle="1" w:styleId="AttributeTok">
    <w:name w:val="AttributeTok"/>
    <w:basedOn w:val="VerbatimChar"/>
    <w:rPr>
      <w:rFonts w:ascii="Consolas" w:eastAsia="Consolas" w:hAnsi="Consolas" w:cs="Consolas"/>
      <w:color w:val="7D9029"/>
      <w:sz w:val="19"/>
    </w:rPr>
  </w:style>
  <w:style w:type="character" w:customStyle="1" w:styleId="RegionMarkerTok">
    <w:name w:val="RegionMarkerTok"/>
    <w:basedOn w:val="VerbatimChar"/>
    <w:rPr>
      <w:rFonts w:ascii="Consolas" w:eastAsia="Consolas" w:hAnsi="Consolas" w:cs="Consolas"/>
      <w:color w:val="1F1F1F"/>
      <w:sz w:val="19"/>
    </w:rPr>
  </w:style>
  <w:style w:type="character" w:customStyle="1" w:styleId="InformationTok">
    <w:name w:val="Information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WarningTok">
    <w:name w:val="Warning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AlertTok">
    <w:name w:val="AlertTok"/>
    <w:basedOn w:val="VerbatimChar"/>
    <w:rPr>
      <w:rFonts w:ascii="Consolas" w:eastAsia="Consolas" w:hAnsi="Consolas" w:cs="Consolas"/>
      <w:b/>
      <w:color w:val="FF0000"/>
      <w:sz w:val="19"/>
    </w:rPr>
  </w:style>
  <w:style w:type="character" w:customStyle="1" w:styleId="ErrorTok">
    <w:name w:val="ErrorTok"/>
    <w:basedOn w:val="VerbatimChar"/>
    <w:rPr>
      <w:rFonts w:ascii="Consolas" w:eastAsia="Consolas" w:hAnsi="Consolas" w:cs="Consolas"/>
      <w:b/>
      <w:color w:val="FF0000"/>
      <w:sz w:val="19"/>
    </w:rPr>
  </w:style>
  <w:style w:type="character" w:customStyle="1" w:styleId="NormalTok">
    <w:name w:val="NormalTok"/>
    <w:basedOn w:val="VerbatimChar"/>
    <w:rPr>
      <w:rFonts w:ascii="Consolas" w:eastAsia="Consolas" w:hAnsi="Consolas" w:cs="Consolas"/>
      <w:color w:val="1F1F1F"/>
      <w:sz w:val="19"/>
    </w:rPr>
  </w:style>
  <w:style w:type="paragraph" w:styleId="TOC1">
    <w:name w:val="toc 1"/>
    <w:basedOn w:val="Normal"/>
    <w:next w:val="Normal"/>
    <w:autoRedefine/>
    <w:uiPriority w:val="39"/>
    <w:rsid w:val="00DE0957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DE0957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998</Words>
  <Characters>5695</Characters>
  <Application>Microsoft Office Word</Application>
  <DocSecurity>0</DocSecurity>
  <Lines>47</Lines>
  <Paragraphs>13</Paragraphs>
  <ScaleCrop>false</ScaleCrop>
  <Company/>
  <LinksUpToDate>false</LinksUpToDate>
  <CharactersWithSpaces>6680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Jeremy Forguson</cp:lastModifiedBy>
  <cp:revision>2</cp:revision>
  <dcterms:created xsi:type="dcterms:W3CDTF">2026-07-30T14:34:00Z</dcterms:created>
  <dcterms:modified xsi:type="dcterms:W3CDTF">2026-07-30T14:34:00Z</dcterms:modified>
</cp:coreProperties>
</file>