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spacing w:after="200"/>
        <w:jc w:val="center"/>
      </w:pPr>
      <w:r>
        <w:drawing>
          <wp:inline distT="0" distB="0" distL="0" distR="0">
            <wp:extent cx="4286250" cy="2409825"/>
            <wp:effectExtent t="0" r="0" b="0" l="0"/>
            <wp:docPr id="1" name="cover" descr="Private Cloud Operations banner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color w:val="5BA3E8"/>
          <w:sz w:val="20"/>
          <w:szCs w:val="20"/>
        </w:rPr>
        <w:t xml:space="preserve">TECHNICAL ADVISORY  ·  PRIVATE CLOUD OPERATIONS</w:t>
      </w:r>
    </w:p>
    <w:p>
      <w:pPr>
        <w:spacing w:after="60"/>
        <w:jc w:val="center"/>
      </w:pPr>
      <w:r>
        <w:rPr>
          <w:rFonts w:ascii="Aptos" w:cs="Aptos" w:eastAsia="Aptos" w:hAnsi="Aptos"/>
          <w:b/>
          <w:bCs/>
          <w:color w:val="0A1F3D"/>
          <w:sz w:val="48"/>
          <w:szCs w:val="48"/>
        </w:rPr>
        <w:t xml:space="preserve">&lt;Project Name&gt;</w:t>
      </w:r>
    </w:p>
    <w:p>
      <w:pPr>
        <w:spacing w:after="120"/>
        <w:jc w:val="center"/>
      </w:pPr>
      <w:r>
        <w:rPr>
          <w:rFonts w:ascii="Aptos" w:cs="Aptos" w:eastAsia="Aptos" w:hAnsi="Aptos"/>
          <w:b/>
          <w:bCs/>
          <w:color w:val="1565C0"/>
          <w:sz w:val="30"/>
          <w:szCs w:val="30"/>
        </w:rPr>
        <w:t xml:space="preserve">&lt;VCF Version&gt; / &lt;VCF Automation Version&gt;</w:t>
      </w:r>
    </w:p>
    <w:p>
      <w:r>
        <w:t xml:space="preserve"> </w:t>
      </w:r>
    </w:p>
    <w:p>
      <w:pPr>
        <w:pBdr>
          <w:bottom w:val="single" w:color="1565C0" w:sz="18" w:space="4"/>
        </w:pBdr>
        <w:spacing w:after="200"/>
        <w:jc w:val="center"/>
      </w:pPr>
    </w:p>
    <w:p>
      <w:pPr>
        <w:spacing w:after="200"/>
        <w:jc w:val="center"/>
      </w:pPr>
      <w:r>
        <w:rPr>
          <w:rFonts w:ascii="Aptos" w:cs="Aptos" w:eastAsia="Aptos" w:hAnsi="Aptos"/>
          <w:i/>
          <w:iCs/>
          <w:color w:val="404040"/>
          <w:sz w:val="24"/>
          <w:szCs w:val="24"/>
        </w:rPr>
        <w:t xml:space="preserve">Implementation Guide</w:t>
      </w:r>
    </w:p>
    <w:p>
      <w:pPr>
        <w:jc w:val="center"/>
      </w:pPr>
      <w:r>
        <w:rPr>
          <w:rFonts w:ascii="Aptos" w:cs="Aptos" w:eastAsia="Aptos" w:hAnsi="Aptos"/>
          <w:b/>
          <w:bCs/>
          <w:color w:val="404040"/>
          <w:sz w:val="18"/>
          <w:szCs w:val="18"/>
        </w:rPr>
        <w:t xml:space="preserve">PREPARED:  </w:t>
      </w:r>
      <w:r>
        <w:rPr>
          <w:rFonts w:ascii="Aptos" w:cs="Aptos" w:eastAsia="Aptos" w:hAnsi="Aptos"/>
          <w:color w:val="707070"/>
          <w:sz w:val="18"/>
          <w:szCs w:val="18"/>
        </w:rPr>
        <w:t xml:space="preserve">&lt;Month Year&gt;</w:t>
      </w:r>
      <w:r>
        <w:rPr>
          <w:rFonts w:ascii="Aptos" w:cs="Aptos" w:eastAsia="Aptos" w:hAnsi="Aptos"/>
          <w:color w:val="404040"/>
          <w:sz w:val="18"/>
          <w:szCs w:val="18"/>
        </w:rPr>
        <w:t xml:space="preserve">       ·       </w:t>
      </w:r>
      <w:r>
        <w:rPr>
          <w:rFonts w:ascii="Aptos" w:cs="Aptos" w:eastAsia="Aptos" w:hAnsi="Aptos"/>
          <w:b/>
          <w:bCs/>
          <w:color w:val="404040"/>
          <w:sz w:val="18"/>
          <w:szCs w:val="18"/>
        </w:rPr>
        <w:t xml:space="preserve">AUDIENCE:  </w:t>
      </w:r>
      <w:r>
        <w:rPr>
          <w:rFonts w:ascii="Aptos" w:cs="Aptos" w:eastAsia="Aptos" w:hAnsi="Aptos"/>
          <w:color w:val="707070"/>
          <w:sz w:val="18"/>
          <w:szCs w:val="18"/>
        </w:rPr>
        <w:t xml:space="preserve">&lt;customer&gt;, &lt;groups&gt;</w:t>
      </w:r>
    </w:p>
    <w:p>
      <w:pPr>
        <w:pBdr>
          <w:bottom w:val="single" w:color="1565C0" w:sz="18" w:space="4"/>
        </w:pBdr>
        <w:spacing w:after="200"/>
        <w:jc w:val="center"/>
      </w:pPr>
    </w:p>
    <w:p/>
    <w:p/>
    <w:p/>
    <w:p/>
    <w:p/>
    <w:p/>
    <w:p/>
    <w:p/>
    <w:p/>
    <w:p>
      <w:pPr>
        <w:pStyle w:val="Heading1"/>
      </w:pPr>
      <w:r>
        <w:t xml:space="preserve">0. Read This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565C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</w:rPr>
              <w:t xml:space="preserve">Package-based deployment</w:t>
            </w:r>
          </w:p>
          <w:p>
            <w:r>
              <w:rPr>
                <w:rFonts w:ascii="Aptos" w:cs="Aptos" w:eastAsia="Aptos" w:hAnsi="Aptos"/>
              </w:rPr>
              <w:t xml:space="preserve">&lt;Describe how the solution is distributed (package file, manual build, etc.) and what the package contains. Set expectations for deployment time.&gt;</w:t>
            </w:r>
          </w:p>
        </w:tc>
      </w:tr>
    </w:tbl>
    <w:p>
      <w:pPr>
        <w:spacing w:after="120"/>
      </w:pPr>
      <w:r>
        <w:rPr>
          <w:rFonts w:ascii="Aptos" w:cs="Aptos" w:eastAsia="Aptos" w:hAnsi="Aptos"/>
        </w:rPr>
        <w:t xml:space="preserve">&lt;Estimated deployment time and observation window recommendation.&gt;</w:t>
      </w:r>
    </w:p>
    <w:p>
      <w:pPr>
        <w:pStyle w:val="Heading1"/>
      </w:pPr>
      <w:r>
        <w:t xml:space="preserve">1. Prerequisites</w:t>
      </w:r>
    </w:p>
    <w:p>
      <w:pPr>
        <w:pStyle w:val="Heading2"/>
      </w:pPr>
      <w:r>
        <w:t xml:space="preserve">1.1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VMware Cloud Foundation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&lt;version&gt;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Embedded VCF Orchestrator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&lt;version&gt;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vCenter Server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&lt;version&gt; (one or more, all registered with VCF Orchestrator)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VCF Operations for Logs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Recommended</w:t>
            </w:r>
          </w:p>
        </w:tc>
      </w:tr>
    </w:tbl>
    <w:p>
      <w:pPr>
        <w:pStyle w:val="Heading2"/>
      </w:pPr>
      <w:r>
        <w:t xml:space="preserve">1.2 Privileges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&lt;List the minimum privileges the VCF Orchestrator service account needs on each target system.&gt;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</w:rPr>
        <w:t xml:space="preserve">&lt;Privilege 1&gt;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</w:rPr>
        <w:t xml:space="preserve">&lt;Privilege 2&gt;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</w:rPr>
        <w:t xml:space="preserve">&lt;Privilege 3&gt;</w:t>
      </w:r>
    </w:p>
    <w:p>
      <w:pPr>
        <w:pStyle w:val="Heading2"/>
      </w:pPr>
      <w:r>
        <w:t xml:space="preserve">1.3 Skills and Access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</w:rPr>
        <w:t xml:space="preserve">&lt;Required role/access 1&gt;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</w:rPr>
        <w:t xml:space="preserve">&lt;Required role/access 2&gt;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</w:rPr>
        <w:t xml:space="preserve">&lt;Required role/access 3&gt;</w:t>
      </w:r>
    </w:p>
    <w:p>
      <w:pPr>
        <w:pStyle w:val="Heading2"/>
      </w:pPr>
      <w:r>
        <w:t xml:space="preserve">1.4 Obtain the Package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&lt;How to get the package file and where to stage it.&gt;</w:t>
      </w:r>
    </w:p>
    <w:p>
      <w:pPr>
        <w:pStyle w:val="Heading1"/>
      </w:pPr>
      <w:r>
        <w:t xml:space="preserve">2. Package Contents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&lt;Table listing every object in the package so the implementer knows what to expect after import.&gt;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&lt;workflow name&gt;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&lt;Description&gt;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Action 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&lt;com.broadcom.pso.xxx&gt;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&lt;Actions contained&gt;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Configuration Folder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&lt;folder path&gt;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&lt;Configuration elements contained&gt;</w:t>
            </w:r>
          </w:p>
        </w:tc>
      </w:tr>
    </w:tbl>
    <w:p>
      <w:pPr>
        <w:pStyle w:val="Heading1"/>
      </w:pPr>
      <w:r>
        <w:t xml:space="preserve">3. Step 1 — Import the Package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&lt;Step-by-step import instructions specific to VCF Orchestrator UI. Include conflict resolution guidance for upgrades.&gt;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565C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</w:rPr>
              <w:t xml:space="preserve">Import does not overwrite configuration element values</w:t>
            </w:r>
          </w:p>
          <w:p>
            <w:r>
              <w:rPr>
                <w:rFonts w:ascii="Aptos" w:cs="Aptos" w:eastAsia="Aptos" w:hAnsi="Aptos"/>
              </w:rPr>
              <w:t xml:space="preserve">&lt;Reassure the implementer that runtime state is preserved during upgrade imports.&gt;</w:t>
            </w:r>
          </w:p>
        </w:tc>
      </w:tr>
    </w:tbl>
    <w:p>
      <w:pPr>
        <w:spacing w:after="120"/>
      </w:pPr>
      <w:r>
        <w:rPr>
          <w:rFonts w:ascii="Aptos" w:cs="Aptos" w:eastAsia="Aptos" w:hAnsi="Aptos"/>
        </w:rPr>
        <w:t xml:space="preserve">After import completes, verify the objects exist: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&lt;List exact navigation paths to each imported object.&gt;</w:t>
      </w:r>
    </w:p>
    <w:p>
      <w:pPr>
        <w:pStyle w:val="Heading1"/>
      </w:pPr>
      <w:r>
        <w:t xml:space="preserve">4. Step 2 — Post-Import Configuration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&lt;List every item that requires environment-specific configuration after import.&gt;</w:t>
      </w:r>
    </w:p>
    <w:p>
      <w:pPr>
        <w:pStyle w:val="Heading2"/>
      </w:pPr>
      <w:r>
        <w:t xml:space="preserve">4.1 Initialize Configuration Elements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&lt;Table of configuration element attributes with their required initial values.&gt;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Required 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&lt;attribute&gt;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&lt;type&gt;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&lt;value&gt;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&lt;Why this value matters&gt;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&lt;attribute&gt;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&lt;type&gt;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&lt;value&gt;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&lt;Notes&gt;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565C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</w:rPr>
              <w:t xml:space="preserve">Upgrade installs: skip this step</w:t>
            </w:r>
          </w:p>
          <w:p>
            <w:r>
              <w:rPr>
                <w:rFonts w:ascii="Aptos" w:cs="Aptos" w:eastAsia="Aptos" w:hAnsi="Aptos"/>
              </w:rPr>
              <w:t xml:space="preserve">&lt;Note that existing installations already have these values populated.&gt;</w:t>
            </w:r>
          </w:p>
        </w:tc>
      </w:tr>
    </w:tbl>
    <w:p>
      <w:pPr>
        <w:pStyle w:val="Heading2"/>
      </w:pPr>
      <w:r>
        <w:t xml:space="preserve">4.2 Review Workflow Defaults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&lt;Table of all configurable parameters with their defaults and guidance.&gt;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&lt;parameter&gt;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&lt;type&gt;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&lt;default&gt;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&lt;Guidance&gt;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dryRun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true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MUST remain true as the default.</w:t>
            </w:r>
          </w:p>
        </w:tc>
      </w:tr>
    </w:tbl>
    <w:p>
      <w:pPr>
        <w:pStyle w:val="Heading1"/>
      </w:pPr>
      <w:r>
        <w:t xml:space="preserve">5. Step 3 — Configure the Schedule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&lt;How to set up the recurring schedule, including recommended timing and input overrides.&gt;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565C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</w:rPr>
              <w:t xml:space="preserve">Stagger across environments</w:t>
            </w:r>
          </w:p>
          <w:p>
            <w:r>
              <w:rPr>
                <w:rFonts w:ascii="Aptos" w:cs="Aptos" w:eastAsia="Aptos" w:hAnsi="Aptos"/>
              </w:rPr>
              <w:t xml:space="preserve">&lt;Guidance on staggering schedules if deployed to multiple VCF Orchestrator instances.&gt;</w:t>
            </w:r>
          </w:p>
        </w:tc>
      </w:tr>
    </w:tbl>
    <w:p>
      <w:pPr>
        <w:pStyle w:val="Heading1"/>
      </w:pPr>
      <w:r>
        <w:t xml:space="preserve">6. Step 4 — Smoke Test</w:t>
      </w:r>
    </w:p>
    <w:p>
      <w:pPr>
        <w:pStyle w:val="Heading2"/>
      </w:pPr>
      <w:r>
        <w:t xml:space="preserve">6.1 Manual Dry Run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&lt;Step-by-step instructions for running the first test. Include expected log output.&gt;</w:t>
      </w:r>
    </w:p>
    <w:p>
      <w:pPr>
        <w:pStyle w:val="Heading2"/>
      </w:pPr>
      <w:r>
        <w:t xml:space="preserve">6.2 Verify State Cleanup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&lt;How to confirm runtime state (locks, temp data) was released cleanly.&gt;</w:t>
      </w:r>
    </w:p>
    <w:p>
      <w:pPr>
        <w:pStyle w:val="Heading2"/>
      </w:pPr>
      <w:r>
        <w:t xml:space="preserve">6.3 Verify Log Ingestion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&lt;How to confirm logs are appearing in VCF Operations for Logs.&gt;</w:t>
      </w:r>
    </w:p>
    <w:p>
      <w:pPr>
        <w:pStyle w:val="Heading1"/>
      </w:pPr>
      <w:r>
        <w:t xml:space="preserve">7. Going Live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&lt;Step-by-step process for transitioning from dry-run observation to live execution. Include the recommended observation period at each stage.&gt;</w:t>
      </w:r>
    </w:p>
    <w:p>
      <w:pPr>
        <w:pStyle w:val="Heading1"/>
      </w:pPr>
      <w:r>
        <w:t xml:space="preserve">8.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66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Verified?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1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&lt;Checklist item 1&gt;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2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&lt;Checklist item 2&gt;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3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&lt;Checklist item 3&gt;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4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&lt;Checklist item 4&gt;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5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&lt;Checklist item 5&gt;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6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&lt;Checklist item 6&gt;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9. Upgrading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&lt;Step-by-step upgrade procedure. Include pre-flight checks and post-upgrade validation.&gt;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565C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</w:rPr>
              <w:t xml:space="preserve">Runtime state is preserved</w:t>
            </w:r>
          </w:p>
          <w:p>
            <w:r>
              <w:rPr>
                <w:rFonts w:ascii="Aptos" w:cs="Aptos" w:eastAsia="Aptos" w:hAnsi="Aptos"/>
              </w:rPr>
              <w:t xml:space="preserve">&lt;Reassure implementers that operational history is retained across upgrades.&gt;</w:t>
            </w:r>
          </w:p>
        </w:tc>
      </w:tr>
    </w:tbl>
    <w:p>
      <w:pPr>
        <w:pStyle w:val="Heading1"/>
      </w:pPr>
      <w:r>
        <w:t xml:space="preserve">10. Rollback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&lt;How to completely remove the solution from the environment. Include data-loss warnings where applicable.&gt;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404040"/>
        <w:sz w:val="18"/>
        <w:szCs w:val="18"/>
      </w:rPr>
      <w:t xml:space="preserve">Page </w:t>
    </w:r>
    <w:r>
      <w:rPr>
        <w:rFonts w:ascii="Aptos" w:cs="Aptos" w:eastAsia="Aptos" w:hAnsi="Aptos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404040"/>
        <w:sz w:val="18"/>
        <w:szCs w:val="18"/>
      </w:rPr>
      <w:t xml:space="preserve"> of </w:t>
    </w:r>
    <w:r>
      <w:rPr>
        <w:rFonts w:ascii="Aptos" w:cs="Aptos" w:eastAsia="Aptos" w:hAnsi="Aptos"/>
        <w:color w:val="40404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rFonts w:ascii="Aptos" w:cs="Aptos" w:eastAsia="Aptos" w:hAnsi="Aptos"/>
        <w:color w:val="404040"/>
        <w:sz w:val="18"/>
        <w:szCs w:val="18"/>
      </w:rPr>
      <w:t xml:space="preserve">Implementation Guide</w:t>
    </w:r>
    <w:r>
      <w:rPr>
        <w:rFonts w:ascii="Aptos" w:cs="Aptos" w:eastAsia="Aptos" w:hAnsi="Aptos"/>
      </w:rPr>
      <w:t xml:space="preserve">	</w:t>
    </w:r>
    <w:r>
      <w:rPr>
        <w:rFonts w:ascii="Aptos" w:cs="Aptos" w:eastAsia="Aptos" w:hAnsi="Aptos"/>
        <w:i/>
        <w:iCs/>
        <w:color w:val="404040"/>
        <w:sz w:val="18"/>
        <w:szCs w:val="18"/>
      </w:rPr>
      <w:t xml:space="preserve">&lt;Project Name&gt;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565C0" w:sz="6" w:space="4"/>
      </w:pBdr>
      <w:spacing w:after="180" w:before="360"/>
      <w:outlineLvl w:val="0"/>
    </w:pPr>
    <w:rPr>
      <w:rFonts w:ascii="Aptos" w:cs="Aptos" w:eastAsia="Aptos" w:hAnsi="Aptos"/>
      <w:b/>
      <w:bCs/>
      <w:color w:val="0A1F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ptos" w:cs="Aptos" w:eastAsia="Aptos" w:hAnsi="Aptos"/>
      <w:b/>
      <w:bCs/>
      <w:color w:val="0A1F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ptos" w:cs="Aptos" w:eastAsia="Aptos" w:hAnsi="Aptos"/>
      <w:b/>
      <w:bCs/>
      <w:color w:val="0A1F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a28ed9590e16f49c82eb6384f01a2a754076a45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2026-04-24T20:51:49.540Z</dcterms:created>
  <dcterms:modified xsi:type="dcterms:W3CDTF">2026-04-24T20:51:49.540Z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