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pPr>
        <w:spacing w:after="200"/>
        <w:jc w:val="center"/>
      </w:pPr>
      <w:r>
        <w:drawing>
          <wp:inline distT="0" distB="0" distL="0" distR="0">
            <wp:extent cx="4286250" cy="2409825"/>
            <wp:effectExtent t="0" r="0" b="0" l="0"/>
            <wp:docPr id="1" name="cover" descr="Private Cloud Operations banner" title="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ptos" w:cs="Aptos" w:eastAsia="Aptos" w:hAnsi="Aptos"/>
          <w:b/>
          <w:bCs/>
          <w:color w:val="5BA3E8"/>
          <w:sz w:val="20"/>
          <w:szCs w:val="20"/>
        </w:rPr>
        <w:t xml:space="preserve">TECHNICAL ADVISORY  ·  PRIVATE CLOUD OPERATIONS</w:t>
      </w:r>
    </w:p>
    <w:p>
      <w:pPr>
        <w:spacing w:after="60"/>
        <w:jc w:val="center"/>
      </w:pPr>
      <w:r>
        <w:rPr>
          <w:rFonts w:ascii="Aptos" w:cs="Aptos" w:eastAsia="Aptos" w:hAnsi="Aptos"/>
          <w:b/>
          <w:bCs/>
          <w:color w:val="0A1F3D"/>
          <w:sz w:val="48"/>
          <w:szCs w:val="48"/>
        </w:rPr>
        <w:t xml:space="preserve">&lt;Project Name&gt;</w:t>
      </w:r>
    </w:p>
    <w:p>
      <w:pPr>
        <w:spacing w:after="120"/>
        <w:jc w:val="center"/>
      </w:pPr>
      <w:r>
        <w:rPr>
          <w:rFonts w:ascii="Aptos" w:cs="Aptos" w:eastAsia="Aptos" w:hAnsi="Aptos"/>
          <w:b/>
          <w:bCs/>
          <w:color w:val="1565C0"/>
          <w:sz w:val="30"/>
          <w:szCs w:val="30"/>
        </w:rPr>
        <w:t xml:space="preserve">&lt;VCF Version&gt; / &lt;VCF Automation Version&gt;</w:t>
      </w:r>
    </w:p>
    <w:p>
      <w:r>
        <w:t xml:space="preserve"> </w:t>
      </w:r>
    </w:p>
    <w:p>
      <w:pPr>
        <w:pBdr>
          <w:bottom w:val="single" w:color="1565C0" w:sz="18" w:space="4"/>
        </w:pBdr>
        <w:spacing w:after="200"/>
        <w:jc w:val="center"/>
      </w:pPr>
    </w:p>
    <w:p>
      <w:pPr>
        <w:spacing w:after="200"/>
        <w:jc w:val="center"/>
      </w:pPr>
      <w:r>
        <w:rPr>
          <w:rFonts w:ascii="Aptos" w:cs="Aptos" w:eastAsia="Aptos" w:hAnsi="Aptos"/>
          <w:i/>
          <w:iCs/>
          <w:color w:val="404040"/>
          <w:sz w:val="24"/>
          <w:szCs w:val="24"/>
        </w:rPr>
        <w:t xml:space="preserve">User Guide</w:t>
      </w:r>
    </w:p>
    <w:p>
      <w:pPr>
        <w:jc w:val="center"/>
      </w:pPr>
      <w:r>
        <w:rPr>
          <w:rFonts w:ascii="Aptos" w:cs="Aptos" w:eastAsia="Aptos" w:hAnsi="Aptos"/>
          <w:b/>
          <w:bCs/>
          <w:color w:val="404040"/>
          <w:sz w:val="18"/>
          <w:szCs w:val="18"/>
        </w:rPr>
        <w:t xml:space="preserve">PREPARED:  </w:t>
      </w:r>
      <w:r>
        <w:rPr>
          <w:rFonts w:ascii="Aptos" w:cs="Aptos" w:eastAsia="Aptos" w:hAnsi="Aptos"/>
          <w:color w:val="707070"/>
          <w:sz w:val="18"/>
          <w:szCs w:val="18"/>
        </w:rPr>
        <w:t xml:space="preserve">&lt;Month Year&gt;</w:t>
      </w:r>
      <w:r>
        <w:rPr>
          <w:rFonts w:ascii="Aptos" w:cs="Aptos" w:eastAsia="Aptos" w:hAnsi="Aptos"/>
          <w:color w:val="404040"/>
          <w:sz w:val="18"/>
          <w:szCs w:val="18"/>
        </w:rPr>
        <w:t xml:space="preserve">       ·       </w:t>
      </w:r>
      <w:r>
        <w:rPr>
          <w:rFonts w:ascii="Aptos" w:cs="Aptos" w:eastAsia="Aptos" w:hAnsi="Aptos"/>
          <w:b/>
          <w:bCs/>
          <w:color w:val="404040"/>
          <w:sz w:val="18"/>
          <w:szCs w:val="18"/>
        </w:rPr>
        <w:t xml:space="preserve">AUDIENCE:  </w:t>
      </w:r>
      <w:r>
        <w:rPr>
          <w:rFonts w:ascii="Aptos" w:cs="Aptos" w:eastAsia="Aptos" w:hAnsi="Aptos"/>
          <w:color w:val="707070"/>
          <w:sz w:val="18"/>
          <w:szCs w:val="18"/>
        </w:rPr>
        <w:t xml:space="preserve">&lt;customer&gt;, &lt;groups&gt;</w:t>
      </w:r>
    </w:p>
    <w:p>
      <w:pPr>
        <w:pBdr>
          <w:bottom w:val="single" w:color="1565C0" w:sz="18" w:space="4"/>
        </w:pBdr>
        <w:spacing w:after="200"/>
        <w:jc w:val="center"/>
      </w:pPr>
    </w:p>
    <w:p/>
    <w:p/>
    <w:p/>
    <w:p/>
    <w:p/>
    <w:p/>
    <w:p/>
    <w:p/>
    <w:p/>
    <w:p>
      <w:pPr>
        <w:pStyle w:val="Heading1"/>
      </w:pPr>
      <w:r>
        <w:t xml:space="preserve">1. About This Guide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707070"/>
        </w:rPr>
        <w:t xml:space="preserve">&lt;State who this guide is for (operators, service owners, etc.) and what it covers. Reference the other documents for deployment and design details.&gt;</w:t>
      </w:r>
    </w:p>
    <w:p>
      <w:pPr>
        <w:pStyle w:val="Heading1"/>
      </w:pPr>
      <w:r>
        <w:t xml:space="preserve">2. What the Workflow Does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707070"/>
        </w:rPr>
        <w:t xml:space="preserve">&lt;Plain-language description of what the workflow does on each run. Then list the conditions under which it will NOT act. Write for an operator who has never seen the code.&gt;</w:t>
      </w:r>
    </w:p>
    <w:p>
      <w:pPr>
        <w:pStyle w:val="Heading1"/>
      </w:pPr>
      <w:r>
        <w:t xml:space="preserve">3. Reading a Run Summary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707070"/>
        </w:rPr>
        <w:t xml:space="preserve">&lt;Show a realistic sample of the run summary output (log lines or structured block). Then explain each line in a table.&gt;</w:t>
      </w:r>
    </w:p>
    <w:p>
      <w:pPr>
        <w:pStyle w:val="Heading2"/>
      </w:pPr>
      <w:r>
        <w:t xml:space="preserve">3.1 What Each Line Means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Line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&lt;Line label 1, e.g. Run ID&gt;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&lt;What this line tells the operator&gt;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&lt;Line label 2, e.g. Result&gt;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&lt;Meaning&gt;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&lt;Line label 3, e.g. Deleted&gt;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&lt;Meaning&gt;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&lt;Line label 4, e.g. Skipped&gt;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&lt;Meaning&gt;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&lt;Line label 5, e.g. Lock released&gt;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&lt;Meaning&gt;</w:t>
            </w:r>
          </w:p>
        </w:tc>
      </w:tr>
    </w:tbl>
    <w:p>
      <w:pPr>
        <w:pStyle w:val="Heading1"/>
      </w:pPr>
      <w:r>
        <w:t xml:space="preserve">4. Outcome Classifiers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707070"/>
        </w:rPr>
        <w:t xml:space="preserve">&lt;Table listing every possible Result value with whether action is needed and what it means.&gt;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Action needed?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SUCCESS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&lt;Description&gt;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DRY RUN 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No (informational)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&lt;Description&gt;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&lt;COMPLETED WITH ERRORS&gt;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&lt;Description&gt;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&lt;ERROR&gt;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&lt;Description&gt;</w:t>
            </w:r>
          </w:p>
        </w:tc>
      </w:tr>
    </w:tbl>
    <w:p>
      <w:pPr>
        <w:pStyle w:val="Heading1"/>
      </w:pPr>
      <w:r>
        <w:t xml:space="preserve">5. Daily Review Routine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707070"/>
        </w:rPr>
        <w:t xml:space="preserve">&lt;Table of log queries the operator should run daily, with what to look for.&gt;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Query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What you are looking for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&lt;query 1&gt;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&lt;Expected result and what warrants investigation&gt;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&lt;query 2&gt;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&lt;What to look for&gt;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&lt;query 3&gt;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&lt;What to look for&gt;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&lt;query 4&gt;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&lt;What to look for&gt;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565C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924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</w:rPr>
              <w:t xml:space="preserve">What “normal” looks like</w:t>
            </w:r>
          </w:p>
          <w:p>
            <w:r>
              <w:rPr>
                <w:rFonts w:ascii="Aptos" w:cs="Aptos" w:eastAsia="Aptos" w:hAnsi="Aptos"/>
              </w:rPr>
              <w:t xml:space="preserve">&lt;Describe what a healthy steady-state run looks like so operators know when to worry and when not to.&gt;</w:t>
            </w:r>
          </w:p>
        </w:tc>
      </w:tr>
    </w:tbl>
    <w:p>
      <w:pPr>
        <w:pStyle w:val="Heading1"/>
      </w:pPr>
      <w:r>
        <w:t xml:space="preserve">6. Opting Out / Exclusions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707070"/>
        </w:rPr>
        <w:t xml:space="preserve">&lt;Explain how users can opt specific items out of the workflow's scope. Include matching rules, examples table, and step-by-step instructions.&gt;</w:t>
      </w:r>
    </w:p>
    <w:p>
      <w:pPr>
        <w:pStyle w:val="Heading2"/>
      </w:pPr>
      <w:r>
        <w:t xml:space="preserve">6.1 How the Matching Works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707070"/>
        </w:rPr>
        <w:t xml:space="preserve">&lt;Describe the filter mechanism: case sensitivity, substring vs exact, multiple values, etc.&gt;</w:t>
      </w:r>
    </w:p>
    <w:p>
      <w:pPr>
        <w:pStyle w:val="Heading2"/>
      </w:pPr>
      <w:r>
        <w:t xml:space="preserve">6.2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&lt;Input value&gt;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Skipped?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&lt;example 1&gt;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&lt;Matching rule explanation&gt;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&lt;example 2&gt;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&lt;Explanation&gt;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&lt;example 3&gt;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&lt;Why it does not match&gt;</w:t>
            </w:r>
          </w:p>
        </w:tc>
      </w:tr>
    </w:tbl>
    <w:p>
      <w:pPr>
        <w:pStyle w:val="Heading2"/>
      </w:pPr>
      <w:r>
        <w:t xml:space="preserve">6.3 How to Opt Out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707070"/>
        </w:rPr>
        <w:t xml:space="preserve">&lt;Step-by-step instructions for the end user.&gt;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565C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924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</w:rPr>
              <w:t xml:space="preserve">&lt;Filter precedence note&gt;</w:t>
            </w:r>
          </w:p>
          <w:p>
            <w:r>
              <w:rPr>
                <w:rFonts w:ascii="Aptos" w:cs="Aptos" w:eastAsia="Aptos" w:hAnsi="Aptos"/>
              </w:rPr>
              <w:t xml:space="preserve">&lt;Explain which filter wins when multiple filters apply to the same item.&gt;</w:t>
            </w:r>
          </w:p>
        </w:tc>
      </w:tr>
    </w:tbl>
    <w:p>
      <w:pPr>
        <w:pStyle w:val="Heading1"/>
      </w:pPr>
      <w:r>
        <w:t xml:space="preserve">7. Switching Modes (Dry Run / Live)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707070"/>
        </w:rPr>
        <w:t xml:space="preserve">&lt;Explain the precedence of mode overrides (per-run &gt; schedule &gt; workflow default). Step-by-step for switching in each direction.&gt;</w:t>
      </w:r>
    </w:p>
    <w:p>
      <w:pPr>
        <w:pStyle w:val="Heading1"/>
      </w:pPr>
      <w:r>
        <w:t xml:space="preserve">8. Manual Recovery Procedures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707070"/>
        </w:rPr>
        <w:t xml:space="preserve">&lt;Symptom-based recovery procedures. Include safety warnings before destructive steps.&gt;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565C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924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</w:rPr>
              <w:t xml:space="preserve">Always confirm first</w:t>
            </w:r>
          </w:p>
          <w:p>
            <w:r>
              <w:rPr>
                <w:rFonts w:ascii="Aptos" w:cs="Aptos" w:eastAsia="Aptos" w:hAnsi="Aptos"/>
              </w:rPr>
              <w:t xml:space="preserve">&lt;Safety check the operator must perform before the recovery action.&gt;</w:t>
            </w:r>
          </w:p>
        </w:tc>
      </w:tr>
    </w:tbl>
    <w:p>
      <w:pPr>
        <w:spacing w:after="120"/>
      </w:pPr>
      <w:r>
        <w:rPr>
          <w:rFonts w:ascii="Aptos" w:cs="Aptos" w:eastAsia="Aptos" w:hAnsi="Aptos"/>
          <w:i/>
          <w:iCs/>
          <w:color w:val="707070"/>
        </w:rPr>
        <w:t xml:space="preserve">&lt;Step-by-step recovery procedure.&gt;</w:t>
      </w:r>
    </w:p>
    <w:p>
      <w:pPr>
        <w:pStyle w:val="Heading2"/>
      </w:pPr>
      <w:r>
        <w:t xml:space="preserve">8.1 Intentional Disable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707070"/>
        </w:rPr>
        <w:t xml:space="preserve">&lt;How to intentionally block all runs, and how to re-enable.&gt;</w:t>
      </w:r>
    </w:p>
    <w:p>
      <w:pPr>
        <w:pStyle w:val="Heading1"/>
      </w:pPr>
      <w:r>
        <w:t xml:space="preserve">9. Troubleshooting</w:t>
      </w:r>
    </w:p>
    <w:p>
      <w:pPr>
        <w:pStyle w:val="Heading2"/>
      </w:pPr>
      <w:r>
        <w:t xml:space="preserve">9.1 Common Skip Reasons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Skip reason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&lt;Reason 1&gt;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&lt;Action or "No action needed"&gt;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&lt;Reason 2&gt;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&lt;Action&gt;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&lt;Reason 3&gt;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&lt;Action&gt;</w:t>
            </w:r>
          </w:p>
        </w:tc>
      </w:tr>
    </w:tbl>
    <w:p>
      <w:pPr>
        <w:pStyle w:val="Heading2"/>
      </w:pPr>
      <w:r>
        <w:t xml:space="preserve">9.2 Common Failure Reasons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Failure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Likely cause and action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&lt;Failure 1&gt;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&lt;Cause and remediation&gt;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&lt;Failure 2&gt;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&lt;Cause and remediation&gt;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&lt;Failure 3&gt;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&lt;Cause and remediation&gt;</w:t>
            </w:r>
          </w:p>
        </w:tc>
      </w:tr>
    </w:tbl>
    <w:p>
      <w:pPr>
        <w:pStyle w:val="Heading2"/>
      </w:pPr>
      <w:r>
        <w:t xml:space="preserve">9.3 Performance / Threshold Tuning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707070"/>
        </w:rPr>
        <w:t xml:space="preserve">&lt;Guidance on when and how to adjust thresholds or scheduling based on observed behavior.&gt;</w:t>
      </w:r>
    </w:p>
    <w:p>
      <w:pPr>
        <w:pStyle w:val="Heading1"/>
      </w:pPr>
      <w:r>
        <w:t xml:space="preserve">10. FAQ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707070"/>
        </w:rPr>
        <w:t xml:space="preserve">&lt;Question-and-answer format. Use Heading 3 for each question. Cover the questions operators and service owners will actually ask.&gt;</w:t>
      </w:r>
    </w:p>
    <w:p>
      <w:pPr>
        <w:pStyle w:val="Heading3"/>
      </w:pPr>
      <w:r>
        <w:t xml:space="preserve">Q. &lt;Frequently asked question 1&gt;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707070"/>
        </w:rPr>
        <w:t xml:space="preserve">&lt;Answer&gt;</w:t>
      </w:r>
    </w:p>
    <w:p>
      <w:pPr>
        <w:pStyle w:val="Heading3"/>
      </w:pPr>
      <w:r>
        <w:t xml:space="preserve">Q. &lt;Frequently asked question 2&gt;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707070"/>
        </w:rPr>
        <w:t xml:space="preserve">&lt;Answer&gt;</w:t>
      </w:r>
    </w:p>
    <w:p>
      <w:pPr>
        <w:pStyle w:val="Heading3"/>
      </w:pPr>
      <w:r>
        <w:t xml:space="preserve">Q. &lt;Frequently asked question 3&gt;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707070"/>
        </w:rPr>
        <w:t xml:space="preserve">&lt;Answer&gt;</w:t>
      </w:r>
    </w:p>
    <w:p>
      <w:pPr>
        <w:pStyle w:val="Heading1"/>
      </w:pPr>
      <w:r>
        <w:t xml:space="preserve">11. Quick Reference Card</w:t>
      </w:r>
    </w:p>
    <w:p>
      <w:pPr>
        <w:pStyle w:val="Heading2"/>
      </w:pPr>
      <w:r>
        <w:t xml:space="preserve">Log Search Queries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Query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&lt;query 1&gt;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&lt;What it returns&gt;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&lt;query 2&gt;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&lt;What it returns&gt;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&lt;query 3&gt;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&lt;What it returns&gt;</w:t>
            </w:r>
          </w:p>
        </w:tc>
      </w:tr>
    </w:tbl>
    <w:p>
      <w:pPr>
        <w:pStyle w:val="Heading2"/>
      </w:pPr>
      <w:r>
        <w:t xml:space="preserve">Common Operator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&lt;Action 1&gt;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&lt;Navigation path or tool&gt;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&lt;Action 2&gt;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&lt;Where&gt;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&lt;Action 3&gt;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&lt;Where&gt;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&lt;Action 4&gt;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&lt;Where&gt;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&lt;Action 5&gt;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&lt;Where&gt;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404040"/>
        <w:sz w:val="18"/>
        <w:szCs w:val="18"/>
      </w:rPr>
      <w:t xml:space="preserve">Page </w:t>
    </w:r>
    <w:r>
      <w:rPr>
        <w:rFonts w:ascii="Aptos" w:cs="Aptos" w:eastAsia="Aptos" w:hAnsi="Aptos"/>
        <w:color w:val="40404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404040"/>
        <w:sz w:val="18"/>
        <w:szCs w:val="18"/>
      </w:rPr>
      <w:t xml:space="preserve"> of </w:t>
    </w:r>
    <w:r>
      <w:rPr>
        <w:rFonts w:ascii="Aptos" w:cs="Aptos" w:eastAsia="Aptos" w:hAnsi="Aptos"/>
        <w:color w:val="40404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26"/>
      </w:tabs>
    </w:pPr>
    <w:r>
      <w:rPr>
        <w:rFonts w:ascii="Aptos" w:cs="Aptos" w:eastAsia="Aptos" w:hAnsi="Aptos"/>
        <w:color w:val="404040"/>
        <w:sz w:val="18"/>
        <w:szCs w:val="18"/>
      </w:rPr>
      <w:t xml:space="preserve">User Guide</w:t>
    </w:r>
    <w:r>
      <w:rPr>
        <w:rFonts w:ascii="Aptos" w:cs="Aptos" w:eastAsia="Aptos" w:hAnsi="Aptos"/>
      </w:rPr>
      <w:t xml:space="preserve">	</w:t>
    </w:r>
    <w:r>
      <w:rPr>
        <w:rFonts w:ascii="Aptos" w:cs="Aptos" w:eastAsia="Aptos" w:hAnsi="Aptos"/>
        <w:i/>
        <w:iCs/>
        <w:color w:val="404040"/>
        <w:sz w:val="18"/>
        <w:szCs w:val="18"/>
      </w:rPr>
      <w:t xml:space="preserve">&lt;Project Name&gt;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565C0" w:sz="6" w:space="4"/>
      </w:pBdr>
      <w:spacing w:after="180" w:before="360"/>
      <w:outlineLvl w:val="0"/>
    </w:pPr>
    <w:rPr>
      <w:rFonts w:ascii="Aptos" w:cs="Aptos" w:eastAsia="Aptos" w:hAnsi="Aptos"/>
      <w:b/>
      <w:bCs/>
      <w:color w:val="0A1F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ptos" w:cs="Aptos" w:eastAsia="Aptos" w:hAnsi="Aptos"/>
      <w:b/>
      <w:bCs/>
      <w:color w:val="0A1F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ptos" w:cs="Aptos" w:eastAsia="Aptos" w:hAnsi="Aptos"/>
      <w:b/>
      <w:bCs/>
      <w:color w:val="0A1F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a28ed9590e16f49c82eb6384f01a2a754076a45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2026-04-24T20:51:49.626Z</dcterms:created>
  <dcterms:modified xsi:type="dcterms:W3CDTF">2026-04-24T20:51:49.626Z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