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85984a366df455041e585c48593f6900b5257a"/>
    <w:p>
      <w:pPr>
        <w:pStyle w:val="Heading1"/>
      </w:pPr>
      <w:r>
        <w:t xml:space="preserve">Change Register — Server Reboot Report (vRO)</w:t>
      </w:r>
    </w:p>
    <w:p>
      <w:pPr>
        <w:pStyle w:val="FirstParagraph"/>
      </w:pPr>
      <w:r>
        <w:t xml:space="preserve">Records every deliberate change made transitioning the Ansible pending-reboot report</w:t>
      </w:r>
      <w:r>
        <w:t xml:space="preserve"> </w:t>
      </w:r>
      <w:r>
        <w:t xml:space="preserve">to the vRO</w:t>
      </w:r>
      <w:r>
        <w:t xml:space="preserve"> </w:t>
      </w:r>
      <w:r>
        <w:rPr>
          <w:b/>
          <w:bCs/>
        </w:rPr>
        <w:t xml:space="preserve">Get Server Reboot Report</w:t>
      </w:r>
      <w:r>
        <w:t xml:space="preserve"> </w:t>
      </w:r>
      <w:r>
        <w:t xml:space="preserve">workflow.</w:t>
      </w:r>
      <w:r>
        <w:t xml:space="preserve"> </w:t>
      </w:r>
      <w:r>
        <w:rPr>
          <w:rStyle w:val="VerbatimChar"/>
        </w:rPr>
        <w:t xml:space="preserve">R-#</w:t>
      </w:r>
      <w:r>
        <w:t xml:space="preserve"> </w:t>
      </w:r>
      <w:r>
        <w:t xml:space="preserve">= change;</w:t>
      </w:r>
      <w:r>
        <w:t xml:space="preserve"> </w:t>
      </w:r>
      <w:r>
        <w:rPr>
          <w:rStyle w:val="VerbatimChar"/>
        </w:rPr>
        <w:t xml:space="preserve">P-#</w:t>
      </w:r>
      <w:r>
        <w:t xml:space="preserve"> </w:t>
      </w:r>
      <w:r>
        <w:t xml:space="preserve">= process/design</w:t>
      </w:r>
      <w:r>
        <w:t xml:space="preserve"> </w:t>
      </w:r>
      <w:r>
        <w:t xml:space="preserve">decision.</w:t>
      </w:r>
    </w:p>
    <w:bookmarkStart w:id="9" w:name="source-ansible-being-transitioned"/>
    <w:p>
      <w:pPr>
        <w:pStyle w:val="Heading2"/>
      </w:pPr>
      <w:r>
        <w:t xml:space="preserve">Source (Ansible) being transitioned</w:t>
      </w:r>
    </w:p>
    <w:p>
      <w:pPr>
        <w:pStyle w:val="FirstParagraph"/>
      </w:pPr>
      <w:r>
        <w:t xml:space="preserve">Two report playbooks in</w:t>
      </w:r>
      <w:r>
        <w:t xml:space="preserve"> </w:t>
      </w:r>
      <w:r>
        <w:rPr>
          <w:rStyle w:val="VerbatimChar"/>
        </w:rPr>
        <w:t xml:space="preserve">InProgress/psscript/Servers Reboot Report by CN/</w:t>
      </w:r>
      <w:r>
        <w:t xml:space="preserve">, both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(no reboot):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Playbook</w:t>
            </w:r>
          </w:p>
        </w:tc>
        <w:tc>
          <w:tcPr/>
          <w:p>
            <w:pPr>
              <w:pStyle w:val="Compact"/>
            </w:pPr>
            <w:r>
              <w:t xml:space="preserve">vars</w:t>
            </w:r>
          </w:p>
        </w:tc>
        <w:tc>
          <w:tcPr/>
          <w:p>
            <w:pPr>
              <w:pStyle w:val="Compact"/>
            </w:pPr>
            <w:r>
              <w:t xml:space="preserve">Script action</w:t>
            </w:r>
          </w:p>
        </w:tc>
        <w:tc>
          <w:tcPr/>
          <w:p>
            <w:pPr>
              <w:pStyle w:val="Compact"/>
            </w:pPr>
            <w:r>
              <w:t xml:space="preserve">Group input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servers_reboot_report-ByCN.yml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Get-ServerRebootReportStatus-ByCN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-SecurityGroup_CN</w:t>
            </w:r>
            <w:r>
              <w:t xml:space="preserve"> </w:t>
            </w:r>
            <w:r>
              <w:t xml:space="preserve">(DN)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Get-ListOfServers-ByCN</w:t>
            </w:r>
            <w:r>
              <w:t xml:space="preserve"> </w:t>
            </w:r>
            <w:r>
              <w:t xml:space="preserve">— recursive, filtered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servers_pending_reboot_report.yml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Get-ServerPendingRebootStatus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-ADGroupMember</w:t>
            </w:r>
            <w:r>
              <w:t xml:space="preserve"> </w:t>
            </w:r>
            <w:r>
              <w:t xml:space="preserve">(name)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Get-ListOfServers</w:t>
            </w:r>
            <w:r>
              <w:t xml:space="preserve"> </w:t>
            </w:r>
            <w:r>
              <w:t xml:space="preserve">— non-recursive,</w:t>
            </w:r>
            <w:r>
              <w:t xml:space="preserve"> </w:t>
            </w:r>
            <w:r>
              <w:rPr>
                <w:b/>
                <w:bCs/>
              </w:rPr>
              <w:t xml:space="preserve">unfiltered</w:t>
            </w:r>
          </w:p>
        </w:tc>
      </w:tr>
    </w:tbl>
    <w:p>
      <w:pPr>
        <w:pStyle w:val="BodyText"/>
      </w:pPr>
      <w:r>
        <w:t xml:space="preserve">Both then: resolve →</w:t>
      </w:r>
      <w:r>
        <w:t xml:space="preserve"> </w:t>
      </w:r>
      <w:r>
        <w:rPr>
          <w:rStyle w:val="VerbatimChar"/>
        </w:rPr>
        <w:t xml:space="preserve">Get-RebootStatus</w:t>
      </w:r>
      <w:r>
        <w:t xml:space="preserve"> </w:t>
      </w:r>
      <w:r>
        <w:t xml:space="preserve">(remote WMI/registry/SCCM) → count pending →</w:t>
      </w:r>
      <w:r>
        <w:t xml:space="preserve"> </w:t>
      </w:r>
      <w:r>
        <w:rPr>
          <w:rStyle w:val="VerbatimChar"/>
        </w:rPr>
        <w:t xml:space="preserve">GenerateReportServerPendingRebootStatus</w:t>
      </w:r>
      <w:r>
        <w:t xml:space="preserve"> </w:t>
      </w:r>
      <w:r>
        <w:t xml:space="preserve">(HTML + optional mail).</w:t>
      </w:r>
    </w:p>
    <w:p>
      <w:pPr>
        <w:pStyle w:val="BodyText"/>
      </w:pPr>
      <w:r>
        <w:rPr>
          <w:b/>
          <w:bCs/>
        </w:rPr>
        <w:t xml:space="preserve">Behaviours preserved deliberately</w:t>
      </w:r>
    </w:p>
    <w:p>
      <w:pPr>
        <w:pStyle w:val="Compact"/>
        <w:numPr>
          <w:ilvl w:val="0"/>
          <w:numId w:val="1001"/>
        </w:numPr>
      </w:pPr>
      <w:r>
        <w:t xml:space="preserve">Read-only — no server is ever rebooted.</w:t>
      </w:r>
    </w:p>
    <w:p>
      <w:pPr>
        <w:pStyle w:val="Compact"/>
        <w:numPr>
          <w:ilvl w:val="0"/>
          <w:numId w:val="1001"/>
        </w:numPr>
      </w:pPr>
      <w:r>
        <w:t xml:space="preserve">Pending state is determined by remote WMI/registry (CBS</w:t>
      </w:r>
      <w:r>
        <w:t xml:space="preserve"> </w:t>
      </w:r>
      <w:r>
        <w:rPr>
          <w:rStyle w:val="VerbatimChar"/>
        </w:rPr>
        <w:t xml:space="preserve">RebootPending</w:t>
      </w:r>
      <w:r>
        <w:t xml:space="preserve">, WU</w:t>
      </w:r>
      <w:r>
        <w:t xml:space="preserve"> </w:t>
      </w:r>
      <w:r>
        <w:rPr>
          <w:rStyle w:val="VerbatimChar"/>
        </w:rPr>
        <w:t xml:space="preserve">RebootRequired</w:t>
      </w:r>
      <w:r>
        <w:t xml:space="preserve">, SCCM</w:t>
      </w:r>
      <w:r>
        <w:t xml:space="preserve"> </w:t>
      </w:r>
      <w:r>
        <w:rPr>
          <w:rStyle w:val="VerbatimChar"/>
        </w:rPr>
        <w:t xml:space="preserve">DetermineIfRebootPending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Mail is gated by</w:t>
      </w:r>
      <w:r>
        <w:t xml:space="preserve"> </w:t>
      </w:r>
      <w:r>
        <w:rPr>
          <w:rStyle w:val="VerbatimChar"/>
        </w:rPr>
        <w:t xml:space="preserve">-eMailReport</w:t>
      </w:r>
      <w:r>
        <w:t xml:space="preserve">.</w:t>
      </w:r>
    </w:p>
    <w:bookmarkEnd w:id="9"/>
    <w:bookmarkStart w:id="10" w:name="changes-to-targeting--resolver"/>
    <w:p>
      <w:pPr>
        <w:pStyle w:val="Heading2"/>
      </w:pPr>
      <w:r>
        <w:t xml:space="preserve">Changes to targeting / resolver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Report action</w:t>
            </w:r>
          </w:p>
        </w:tc>
        <w:tc>
          <w:tcPr/>
          <w:p>
            <w:pPr>
              <w:pStyle w:val="Compact"/>
            </w:pPr>
            <w:r>
              <w:t xml:space="preserve">Consolidate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Ansible variants onto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Get-ServerRebootReportStatus-ByCN</w:t>
            </w:r>
            <w:r>
              <w:t xml:space="preserve"> </w:t>
            </w:r>
            <w:r>
              <w:t xml:space="preserve">(resolver</w:t>
            </w:r>
            <w:r>
              <w:t xml:space="preserve"> </w:t>
            </w:r>
            <w:r>
              <w:rPr>
                <w:rStyle w:val="VerbatimChar"/>
              </w:rPr>
              <w:t xml:space="preserve">Get-ListOfServers-ByCN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recursive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objectClass -eq 'computer'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 -eq $true</w:t>
            </w:r>
            <w:r>
              <w:t xml:space="preserve">, per-object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, group-level failure terminates). The legacy</w:t>
            </w:r>
            <w:r>
              <w:t xml:space="preserve"> </w:t>
            </w:r>
            <w:r>
              <w:rPr>
                <w:rStyle w:val="VerbatimChar"/>
              </w:rPr>
              <w:t xml:space="preserve">Get-ServerPendingRebootStatus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Get-ListOfServers</w:t>
            </w:r>
            <w:r>
              <w:t xml:space="preserve"> </w:t>
            </w:r>
            <w:r>
              <w:t xml:space="preserve">path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by the workflow.</w:t>
            </w:r>
          </w:p>
        </w:tc>
        <w:tc>
          <w:tcPr/>
          <w:p>
            <w:pPr>
              <w:pStyle w:val="Compact"/>
            </w:pPr>
            <w:r>
              <w:t xml:space="preserve">One hardened lookup for both use cases. Recursion is correct for a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report — expanding a nested group only makes the picture more complete, never triggers an action (the deliberate opposite of Invoke-ServerReboot / S-7, which stays non-recursive because rebooting is destructive).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 change for the customer's former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-ADGroupMember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report:</w:t>
            </w:r>
            <w:r>
              <w:t xml:space="preserve"> </w:t>
            </w:r>
            <w:r>
              <w:t xml:space="preserve">nested sub-groups are now expanded; disabled / non-computer members are now excluded. Validate group membership before cutover. No change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— the ByCN action already existed.</w:t>
            </w:r>
          </w:p>
        </w:tc>
      </w:tr>
    </w:tbl>
    <w:bookmarkEnd w:id="10"/>
    <w:bookmarkStart w:id="11" w:name="Xf9d5e7819d7a879fa8fca7b46c49a8a6451829e"/>
    <w:p>
      <w:pPr>
        <w:pStyle w:val="Heading2"/>
      </w:pPr>
      <w:r>
        <w:t xml:space="preserve">Changes to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(shared script)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Deployment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made optional.</w:t>
            </w:r>
            <w:r>
              <w:t xml:space="preserve"> </w:t>
            </w:r>
            <w:r>
              <w:rPr>
                <w:rStyle w:val="VerbatimChar"/>
              </w:rPr>
              <w:t xml:space="preserve">Send-MailMessage</w:t>
            </w:r>
            <w:r>
              <w:t xml:space="preserve"> </w:t>
            </w:r>
            <w:r>
              <w:t xml:space="preserve">now built via splatting;</w:t>
            </w:r>
            <w:r>
              <w:t xml:space="preserve"> </w:t>
            </w:r>
            <w:r>
              <w:rPr>
                <w:rStyle w:val="VerbatimChar"/>
              </w:rPr>
              <w:t xml:space="preserve">-Cc</w:t>
            </w:r>
            <w:r>
              <w:t xml:space="preserve"> </w:t>
            </w:r>
            <w:r>
              <w:t xml:space="preserve">is included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when a real recipient survives filtering (blank/whitespace entries from</w:t>
            </w:r>
            <w:r>
              <w:t xml:space="preserve"> </w:t>
            </w:r>
            <w:r>
              <w:rPr>
                <w:rStyle w:val="VerbatimChar"/>
              </w:rPr>
              <w:t xml:space="preserve">$MailCcString.split(',')</w:t>
            </w:r>
            <w:r>
              <w:t xml:space="preserve"> </w:t>
            </w:r>
            <w:r>
              <w:t xml:space="preserve">are dropped and trimmed). Attachments handled the same way.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Defect.</w:t>
            </w:r>
            <w:r>
              <w:t xml:space="preserve"> </w:t>
            </w:r>
            <w:r>
              <w:t xml:space="preserve">An empty</w:t>
            </w:r>
            <w:r>
              <w:t xml:space="preserve"> </w:t>
            </w:r>
            <w:r>
              <w:rPr>
                <w:rStyle w:val="VerbatimChar"/>
              </w:rPr>
              <w:t xml:space="preserve">-MailCcString</w:t>
            </w:r>
            <w:r>
              <w:t xml:space="preserve"> </w:t>
            </w:r>
            <w:r>
              <w:t xml:space="preserve">yields</w:t>
            </w:r>
            <w:r>
              <w:t xml:space="preserve"> </w:t>
            </w:r>
            <w:r>
              <w:rPr>
                <w:rStyle w:val="VerbatimChar"/>
              </w:rPr>
              <w:t xml:space="preserve">@('')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Send-MailMessage -Cc @('')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i/>
                <w:iCs/>
              </w:rPr>
              <w:t xml:space="preserve">"Cannot validate argument on parameter 'Cc'."</w:t>
            </w:r>
            <w:r>
              <w:t xml:space="preserve"> </w:t>
            </w:r>
            <w:r>
              <w:t xml:space="preserve">— which failed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emailed report, not just this workflow's.</w:t>
            </w:r>
          </w:p>
        </w:tc>
        <w:tc>
          <w:tcPr/>
          <w:p>
            <w:pPr>
              <w:pStyle w:val="Compact"/>
            </w:pPr>
            <w:r>
              <w:t xml:space="preserve">Redeploy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to the PS host. Applied to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repo copies (InProgress and</w:t>
            </w:r>
            <w:r>
              <w:t xml:space="preserve"> </w:t>
            </w:r>
            <w:r>
              <w:rPr>
                <w:rStyle w:val="VerbatimChar"/>
              </w:rPr>
              <w:t xml:space="preserve">Completed/_Shared References</w:t>
            </w:r>
            <w:r>
              <w:t xml:space="preserve">). Backward-compatible when a CC is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mail defaults /</w:t>
            </w:r>
            <w:r>
              <w:t xml:space="preserve"> </w:t>
            </w:r>
            <w:r>
              <w:rPr>
                <w:rStyle w:val="VerbatimChar"/>
              </w:rPr>
              <w:t xml:space="preserve">$Global:MailFrom</w:t>
            </w:r>
          </w:p>
        </w:tc>
        <w:tc>
          <w:tcPr/>
          <w:p>
            <w:pPr>
              <w:pStyle w:val="Compact"/>
            </w:pPr>
            <w:r>
              <w:t xml:space="preserve">Lab-domain standardization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corp.local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vcf.lab</w:t>
            </w:r>
            <w:r>
              <w:t xml:space="preserve"> </w:t>
            </w:r>
            <w:r>
              <w:t xml:space="preserve">in script defaults and the derived FROM address.</w:t>
            </w:r>
          </w:p>
        </w:tc>
        <w:tc>
          <w:tcPr/>
          <w:p>
            <w:pPr>
              <w:pStyle w:val="Compact"/>
            </w:pPr>
            <w:r>
              <w:t xml:space="preserve">Align delivered artifacts with the lab/test domain.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@&lt;domain&gt;</w:t>
            </w:r>
            <w:r>
              <w:t xml:space="preserve"> </w:t>
            </w:r>
            <w:r>
              <w:t xml:space="preserve">is environment-specific — customers must set it to their domain (Implementation Guide §2).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SendMail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GenerateReportServerPendingRebootStatus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 report-file accumulation on the PS host.</w:t>
            </w:r>
            <w:r>
              <w:t xml:space="preserve"> </w:t>
            </w:r>
            <w:r>
              <w:t xml:space="preserve">Two parts: (a)</w:t>
            </w:r>
            <w:r>
              <w:t xml:space="preserve"> </w:t>
            </w:r>
            <w:r>
              <w:rPr>
                <w:rStyle w:val="VerbatimChar"/>
              </w:rPr>
              <w:t xml:space="preserve">ServerPendingRebootStatus_result.html</w:t>
            </w:r>
            <w:r>
              <w:t xml:space="preserve"> </w:t>
            </w:r>
            <w:r>
              <w:t xml:space="preserve">is now written with</w:t>
            </w:r>
            <w:r>
              <w:t xml:space="preserve"> </w:t>
            </w:r>
            <w:r>
              <w:rPr>
                <w:b/>
                <w:bCs/>
              </w:rPr>
              <w:t xml:space="preserve">overwrite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-append</w:t>
            </w:r>
            <w:r>
              <w:t xml:space="preserve">), bounding it to a single run's size; (b)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$Global:MailSent</w:t>
            </w:r>
            <w:r>
              <w:t xml:space="preserve">, and the report function</w:t>
            </w:r>
            <w:r>
              <w:t xml:space="preserve"> </w:t>
            </w:r>
            <w:r>
              <w:rPr>
                <w:b/>
                <w:bCs/>
              </w:rPr>
              <w:t xml:space="preserve">deletes</w:t>
            </w:r>
            <w:r>
              <w:t xml:space="preserve"> </w:t>
            </w:r>
            <w:r>
              <w:t xml:space="preserve">both generated HTML files (</w:t>
            </w:r>
            <w:r>
              <w:rPr>
                <w:rStyle w:val="VerbatimChar"/>
              </w:rPr>
              <w:t xml:space="preserve">…\ServerPendingRebootStatus_result.html</w:t>
            </w:r>
            <w:r>
              <w:t xml:space="preserve"> </w:t>
            </w:r>
            <w:r>
              <w:t xml:space="preserve">and the per-run</w:t>
            </w:r>
            <w:r>
              <w:t xml:space="preserve"> </w:t>
            </w:r>
            <w:r>
              <w:rPr>
                <w:rStyle w:val="VerbatimChar"/>
              </w:rPr>
              <w:t xml:space="preserve">Report.html</w:t>
            </w:r>
            <w:r>
              <w:t xml:space="preserve">) after a</w:t>
            </w:r>
            <w:r>
              <w:t xml:space="preserve"> </w:t>
            </w:r>
            <w:r>
              <w:rPr>
                <w:b/>
                <w:bCs/>
              </w:rPr>
              <w:t xml:space="preserve">confirmed successful send</w:t>
            </w:r>
            <w:r>
              <w:t xml:space="preserve">. On a report-only run (</w:t>
            </w:r>
            <w:r>
              <w:rPr>
                <w:rStyle w:val="VerbatimChar"/>
              </w:rPr>
              <w:t xml:space="preserve">eMailReport=no</w:t>
            </w:r>
            <w:r>
              <w:t xml:space="preserve">) or a failed send, the file is kept (single-run size) and a</w:t>
            </w:r>
            <w:r>
              <w:t xml:space="preserve"> </w:t>
            </w:r>
            <w:r>
              <w:rPr>
                <w:rStyle w:val="VerbatimChar"/>
              </w:rPr>
              <w:t xml:space="preserve">Warn:</w:t>
            </w:r>
            <w:r>
              <w:t xml:space="preserve"> </w:t>
            </w:r>
            <w:r>
              <w:t xml:space="preserve">is logged.</w:t>
            </w:r>
          </w:p>
        </w:tc>
        <w:tc>
          <w:tcPr/>
          <w:p>
            <w:pPr>
              <w:pStyle w:val="Compact"/>
            </w:pPr>
            <w:r>
              <w:t xml:space="preserve">The result file was written in</w:t>
            </w:r>
            <w:r>
              <w:t xml:space="preserve"> </w:t>
            </w:r>
            <w:r>
              <w:rPr>
                <w:b/>
                <w:bCs/>
              </w:rPr>
              <w:t xml:space="preserve">append</w:t>
            </w:r>
            <w:r>
              <w:t xml:space="preserve"> </w:t>
            </w:r>
            <w:r>
              <w:t xml:space="preserve">mode and grew every run — a drive-fill risk on the PS host, with no guarantee that a scheduled external cleanup exists. Overwrite bounds worst case to one file; post-email delete leaves nothing after an emailed run.</w:t>
            </w:r>
          </w:p>
        </w:tc>
        <w:tc>
          <w:tcPr/>
          <w:p>
            <w:pPr>
              <w:pStyle w:val="Compact"/>
            </w:pPr>
            <w:r>
              <w:t xml:space="preserve">Redeploy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. Applied to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repo copies. Uses a new</w:t>
            </w:r>
            <w:r>
              <w:t xml:space="preserve"> </w:t>
            </w:r>
            <w:r>
              <w:rPr>
                <w:rStyle w:val="VerbatimChar"/>
              </w:rPr>
              <w:t xml:space="preserve">$Global:MailSent</w:t>
            </w:r>
            <w:r>
              <w:t xml:space="preserve"> </w:t>
            </w:r>
            <w:r>
              <w:t xml:space="preserve">flag —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's return contract is unchanged, so other callers are unaffected.</w:t>
            </w:r>
          </w:p>
        </w:tc>
      </w:tr>
    </w:tbl>
    <w:bookmarkEnd w:id="11"/>
    <w:bookmarkStart w:id="12" w:name="new-vro-action"/>
    <w:p>
      <w:pPr>
        <w:pStyle w:val="Heading2"/>
      </w:pPr>
      <w:r>
        <w:t xml:space="preserve">New vRO 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  <w:r>
              <w:t xml:space="preserve"> </w:t>
            </w:r>
            <w:r>
              <w:rPr>
                <w:b/>
                <w:bCs/>
              </w:rPr>
              <w:t xml:space="preserve">buildServerRebootReportInvocation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com.broadcom.pso.vcf.vm.guestOps.windows.reboot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 action that builds the validated PowerShell invocation for</w:t>
            </w:r>
            <w:r>
              <w:t xml:space="preserve"> </w:t>
            </w:r>
            <w:r>
              <w:rPr>
                <w:rStyle w:val="VerbatimChar"/>
              </w:rPr>
              <w:t xml:space="preserve">Get-ServerRebootReportStatus-ByCN</w:t>
            </w:r>
            <w:r>
              <w:t xml:space="preserve">. Notables:</w:t>
            </w:r>
            <w:r>
              <w:t xml:space="preserve"> </w:t>
            </w:r>
            <w:r>
              <w:rPr>
                <w:b/>
                <w:bCs/>
              </w:rPr>
              <w:t xml:space="preserve">derives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-HeaderNotesSubstr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groupDN</w:t>
            </w:r>
            <w:r>
              <w:t xml:space="preserve"> </w:t>
            </w:r>
            <w:r>
              <w:t xml:space="preserve">(not a separate input);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toCsv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recipient normalization</w:t>
            </w:r>
            <w:r>
              <w:t xml:space="preserve"> </w:t>
            </w:r>
            <w:r>
              <w:t xml:space="preserve">accepts an Array or a CSV string;</w:t>
            </w:r>
            <w:r>
              <w:t xml:space="preserve"> </w:t>
            </w:r>
            <w:r>
              <w:rPr>
                <w:b/>
                <w:bCs/>
              </w:rPr>
              <w:t xml:space="preserve">char-split guard</w:t>
            </w:r>
            <w:r>
              <w:t xml:space="preserve"> </w:t>
            </w:r>
            <w:r>
              <w:t xml:space="preserve">throws on a recipient token with no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; single-quote</w:t>
            </w:r>
            <w:r>
              <w:t xml:space="preserve"> </w:t>
            </w:r>
            <w:r>
              <w:rPr>
                <w:rStyle w:val="VerbatimChar"/>
              </w:rPr>
              <w:t xml:space="preserve">psQuote</w:t>
            </w:r>
            <w:r>
              <w:t xml:space="preserve"> </w:t>
            </w:r>
            <w:r>
              <w:t xml:space="preserve">escaping; DN nudge; email-opt-in validation;</w:t>
            </w:r>
            <w:r>
              <w:t xml:space="preserve"> </w:t>
            </w:r>
            <w:r>
              <w:rPr>
                <w:rStyle w:val="VerbatimChar"/>
              </w:rPr>
              <w:t xml:space="preserve">*&gt;&amp;1 | Out-String -Width 4096</w:t>
            </w:r>
            <w:r>
              <w:t xml:space="preserve"> </w:t>
            </w:r>
            <w:r>
              <w:t xml:space="preserve">stream capture so the vRO plug-in returns the transcript to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One validated builder; removes a redundant header input; robust to how</w:t>
            </w:r>
            <w:r>
              <w:t xml:space="preserve"> </w:t>
            </w:r>
            <w:r>
              <w:rPr>
                <w:rStyle w:val="VerbatimChar"/>
              </w:rPr>
              <w:t xml:space="preserve">mailTo</w:t>
            </w:r>
            <w:r>
              <w:t xml:space="preserve">/</w:t>
            </w:r>
            <w:r>
              <w:rPr>
                <w:rStyle w:val="VerbatimChar"/>
              </w:rPr>
              <w:t xml:space="preserve">mailCc</w:t>
            </w:r>
            <w:r>
              <w:t xml:space="preserve"> </w:t>
            </w:r>
            <w:r>
              <w:t xml:space="preserve">are typed; guarantees the plug-in can parse the output.</w:t>
            </w:r>
          </w:p>
        </w:tc>
      </w:tr>
    </w:tbl>
    <w:bookmarkEnd w:id="12"/>
    <w:bookmarkStart w:id="13" w:name="process--design-decisions"/>
    <w:p>
      <w:pPr>
        <w:pStyle w:val="Heading2"/>
      </w:pPr>
      <w:r>
        <w:t xml:space="preserve">Process / design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marker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System.setLogMarker("Workflow:" + workflow.name + "-WorkflowRunId:" + workflow.id)</w:t>
            </w:r>
            <w:r>
              <w:t xml:space="preserve"> </w:t>
            </w:r>
            <w:r>
              <w:t xml:space="preserve">in the root</w:t>
            </w:r>
            <w:r>
              <w:t xml:space="preserve"> </w:t>
            </w:r>
            <w:r>
              <w:rPr>
                <w:b/>
                <w:bCs/>
              </w:rPr>
              <w:t xml:space="preserve">Set Log Marker</w:t>
            </w:r>
            <w:r>
              <w:t xml:space="preserve"> </w:t>
            </w:r>
            <w:r>
              <w:t xml:space="preserve">task.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workflow.id</w:t>
            </w:r>
            <w:r>
              <w:t xml:space="preserve"> </w:t>
            </w:r>
            <w:r>
              <w:t xml:space="preserve">returns the</w:t>
            </w:r>
            <w:r>
              <w:t xml:space="preserve"> </w:t>
            </w:r>
            <w:r>
              <w:rPr>
                <w:b/>
                <w:bCs/>
              </w:rPr>
              <w:t xml:space="preserve">run (token) id</w:t>
            </w:r>
            <w:r>
              <w:t xml:space="preserve"> </w:t>
            </w:r>
            <w:r>
              <w:t xml:space="preserve">in this vRO version (confirmed by run logs: per-run GUID ≠ workflow definition id). vRO then prepends the marker to every log line in the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PowerShell host is a pre-bound workflow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attribute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host</w:t>
            </w:r>
            <w:r>
              <w:rPr>
                <w:b/>
                <w:bCs/>
              </w:rPr>
              <w:t xml:space="preserve">), not an input.</w:t>
            </w:r>
          </w:p>
        </w:tc>
        <w:tc>
          <w:tcPr/>
          <w:p>
            <w:pPr>
              <w:pStyle w:val="Compact"/>
            </w:pPr>
            <w:r>
              <w:t xml:space="preserve">Re-point it per environment in the workflow (Implementation Guide §4). Removes a per-run selection and a mandatory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mailTo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mailCc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Array/string</w:t>
            </w: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Enter one address per element. Binding a scalar string into an Array input makes vRO char-split it — the R-4 guard converts that silent corruption into a clear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rebootMode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safety gate, no delay/verify inputs.</w:t>
            </w:r>
          </w:p>
        </w:tc>
        <w:tc>
          <w:tcPr/>
          <w:p>
            <w:pPr>
              <w:pStyle w:val="Compact"/>
            </w:pPr>
            <w:r>
              <w:t xml:space="preserve">The workflow is read-only; there is nothing to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path is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Throw Error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throw err_0</w:t>
            </w:r>
            <w:r>
              <w:t xml:space="preserve">) on the PS-link catch → End.</w:t>
            </w:r>
          </w:p>
        </w:tc>
        <w:tc>
          <w:tcPr/>
          <w:p>
            <w:pPr>
              <w:pStyle w:val="Compact"/>
            </w:pPr>
            <w:r>
              <w:t xml:space="preserve">Simpler than a dedicated handler; a terminating PS failure surfaces as a Failed end state. Per-server read failures are non-terminating and land in Completed with Errors.</w:t>
            </w:r>
          </w:p>
        </w:tc>
      </w:tr>
    </w:tbl>
    <w:bookmarkEnd w:id="13"/>
    <w:bookmarkStart w:id="14" w:name="as-built-reference"/>
    <w:p>
      <w:pPr>
        <w:pStyle w:val="Heading2"/>
      </w:pPr>
      <w:r>
        <w:t xml:space="preserve">As-built reference</w:t>
      </w:r>
    </w:p>
    <w:p>
      <w:pPr>
        <w:pStyle w:val="Compact"/>
        <w:numPr>
          <w:ilvl w:val="0"/>
          <w:numId w:val="1002"/>
        </w:numPr>
      </w:pPr>
      <w:r>
        <w:t xml:space="preserve">Workflow:</w:t>
      </w:r>
      <w:r>
        <w:t xml:space="preserve"> </w:t>
      </w:r>
      <w:r>
        <w:rPr>
          <w:b/>
          <w:bCs/>
        </w:rPr>
        <w:t xml:space="preserve">Get Server Reboot Report</w:t>
      </w:r>
      <w:r>
        <w:t xml:space="preserve">, id</w:t>
      </w:r>
      <w:r>
        <w:t xml:space="preserve"> </w:t>
      </w:r>
      <w:r>
        <w:rPr>
          <w:rStyle w:val="VerbatimChar"/>
        </w:rPr>
        <w:t xml:space="preserve">9fe2e6c5-0186-45a8-94c2-575c926836e9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Reused dependency: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com.broadcom.pso.vcf.vm.guestOps.files.windows.logs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Full schema and per-task code:</w:t>
      </w:r>
      <w:r>
        <w:t xml:space="preserve"> </w:t>
      </w:r>
      <w:r>
        <w:rPr>
          <w:rStyle w:val="VerbatimChar"/>
        </w:rPr>
        <w:t xml:space="preserve">Code/Get-ServerRebootReport_spec.js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2026-07-22T14:12:26Z</dcterms:created>
  <dcterms:modified xsi:type="dcterms:W3CDTF">2026-07-22T14:12:26Z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