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000000"/>
          <w:sz w:val="22"/>
          <w:szCs w:val="24"/>
        </w:rPr>
        <w:id w:val="492999746"/>
        <w:docPartObj>
          <w:docPartGallery w:val="Table of Contents"/>
          <w:docPartUnique/>
        </w:docPartObj>
      </w:sdtPr>
      <w:sdtEndPr/>
      <w:sdtContent>
        <w:p w14:paraId="7D679296" w14:textId="77777777" w:rsidR="00276122" w:rsidRDefault="004B56A3">
          <w:pPr>
            <w:pStyle w:val="TOCHeading"/>
          </w:pPr>
          <w:r>
            <w:t>Table of Contents</w:t>
          </w:r>
        </w:p>
        <w:p w14:paraId="4AFF49BF" w14:textId="22629F9B" w:rsidR="00616A5D" w:rsidRDefault="004B56A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7519963" w:history="1">
            <w:r w:rsidR="00616A5D" w:rsidRPr="006678A5">
              <w:rPr>
                <w:rStyle w:val="Hyperlink"/>
                <w:noProof/>
              </w:rPr>
              <w:t>Platform Options Advisory — Datastore Capacity and Fill Projection</w:t>
            </w:r>
            <w:r w:rsidR="00616A5D">
              <w:rPr>
                <w:noProof/>
                <w:webHidden/>
              </w:rPr>
              <w:tab/>
            </w:r>
            <w:r w:rsidR="00616A5D">
              <w:rPr>
                <w:noProof/>
                <w:webHidden/>
              </w:rPr>
              <w:fldChar w:fldCharType="begin"/>
            </w:r>
            <w:r w:rsidR="00616A5D">
              <w:rPr>
                <w:noProof/>
                <w:webHidden/>
              </w:rPr>
              <w:instrText xml:space="preserve"> PAGEREF _Toc237519963 \h </w:instrText>
            </w:r>
            <w:r w:rsidR="00616A5D">
              <w:rPr>
                <w:noProof/>
                <w:webHidden/>
              </w:rPr>
            </w:r>
            <w:r w:rsidR="00616A5D">
              <w:rPr>
                <w:noProof/>
                <w:webHidden/>
              </w:rPr>
              <w:fldChar w:fldCharType="separate"/>
            </w:r>
            <w:r w:rsidR="00616A5D">
              <w:rPr>
                <w:noProof/>
                <w:webHidden/>
              </w:rPr>
              <w:t>1</w:t>
            </w:r>
            <w:r w:rsidR="00616A5D">
              <w:rPr>
                <w:noProof/>
                <w:webHidden/>
              </w:rPr>
              <w:fldChar w:fldCharType="end"/>
            </w:r>
          </w:hyperlink>
        </w:p>
        <w:p w14:paraId="3EBCFE87" w14:textId="3C715E1B" w:rsidR="00616A5D" w:rsidRDefault="00616A5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964" w:history="1">
            <w:r w:rsidRPr="006678A5">
              <w:rPr>
                <w:rStyle w:val="Hyperlink"/>
                <w:noProof/>
              </w:rPr>
              <w:t>1. What the projection script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D4839" w14:textId="3AC3FB95" w:rsidR="00616A5D" w:rsidRDefault="00616A5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965" w:history="1">
            <w:r w:rsidRPr="006678A5">
              <w:rPr>
                <w:rStyle w:val="Hyperlink"/>
                <w:noProof/>
              </w:rPr>
              <w:t>2. Why VCF Operations is the better 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8A1FA" w14:textId="47AB7537" w:rsidR="00616A5D" w:rsidRDefault="00616A5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966" w:history="1">
            <w:r w:rsidRPr="006678A5">
              <w:rPr>
                <w:rStyle w:val="Hyperlink"/>
                <w:noProof/>
              </w:rPr>
              <w:t>Three reasons this is better, not merely equivalent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AC39F" w14:textId="3A2B375B" w:rsidR="00616A5D" w:rsidRDefault="00616A5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967" w:history="1">
            <w:r w:rsidRPr="006678A5">
              <w:rPr>
                <w:rStyle w:val="Hyperlink"/>
                <w:noProof/>
              </w:rPr>
              <w:t>3. What VCF Operations does not give you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F6F65" w14:textId="7FC7F853" w:rsidR="00616A5D" w:rsidRDefault="00616A5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968" w:history="1">
            <w:r w:rsidRPr="006678A5">
              <w:rPr>
                <w:rStyle w:val="Hyperlink"/>
                <w:noProof/>
              </w:rPr>
              <w:t>4. Recommended 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15E37" w14:textId="38AD15D3" w:rsidR="00616A5D" w:rsidRDefault="00616A5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969" w:history="1">
            <w:r w:rsidRPr="006678A5">
              <w:rPr>
                <w:rStyle w:val="Hyperlink"/>
                <w:noProof/>
              </w:rPr>
              <w:t>5. Validation before retiring anything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84CBC" w14:textId="03DD5239" w:rsidR="00616A5D" w:rsidRDefault="00616A5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970" w:history="1">
            <w:r w:rsidRPr="006678A5">
              <w:rPr>
                <w:rStyle w:val="Hyperlink"/>
                <w:noProof/>
              </w:rPr>
              <w:t>6. Impact on this deliverable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F1D4C" w14:textId="6BC47939" w:rsidR="00276122" w:rsidRDefault="004B56A3">
          <w:r>
            <w:fldChar w:fldCharType="end"/>
          </w:r>
        </w:p>
      </w:sdtContent>
    </w:sdt>
    <w:p w14:paraId="0163B020" w14:textId="77777777" w:rsidR="00276122" w:rsidRDefault="004B56A3">
      <w:pPr>
        <w:pStyle w:val="Heading1"/>
      </w:pPr>
      <w:bookmarkStart w:id="0" w:name="Xb9c27a26aaffbcaaaef5306df1c0fed3a880635"/>
      <w:bookmarkStart w:id="1" w:name="_Toc237519963"/>
      <w:r>
        <w:t>Platform Options Advisory — Datastore Capacity and Fill Projection</w:t>
      </w:r>
      <w:bookmarkEnd w:id="1"/>
    </w:p>
    <w:p w14:paraId="686861FC" w14:textId="77777777" w:rsidR="00276122" w:rsidRDefault="004B56A3">
      <w:pPr>
        <w:pStyle w:val="FirstParagraph"/>
      </w:pPr>
      <w:r>
        <w:rPr>
          <w:b/>
          <w:bCs/>
        </w:rPr>
        <w:t>Question asked:</w:t>
      </w:r>
      <w:r>
        <w:t xml:space="preserve"> the newer </w:t>
      </w:r>
      <w:r>
        <w:rPr>
          <w:rStyle w:val="VerbatimChar"/>
        </w:rPr>
        <w:t>datastore_fill_projection_report.yml</w:t>
      </w:r>
      <w:r>
        <w:t xml:space="preserve"> looks like the successor to the 75–100% usage report. Should it be transitioned to Orchestrator, or can VCF Operations do this natively?</w:t>
      </w:r>
    </w:p>
    <w:p w14:paraId="078400C1" w14:textId="77777777" w:rsidR="00276122" w:rsidRDefault="004B56A3">
      <w:pPr>
        <w:pStyle w:val="BodyText"/>
      </w:pPr>
      <w:r>
        <w:rPr>
          <w:b/>
          <w:bCs/>
        </w:rPr>
        <w:t>Recommendation:</w:t>
      </w:r>
      <w:r>
        <w:t xml:space="preserve"> </w:t>
      </w:r>
      <w:r>
        <w:rPr>
          <w:b/>
          <w:bCs/>
        </w:rPr>
        <w:t>VCF Operations should own the projection and the alerting.</w:t>
      </w:r>
      <w:r>
        <w:t xml:space="preserve"> Do not rebuild </w:t>
      </w:r>
      <w:r>
        <w:rPr>
          <w:rStyle w:val="VerbatimChar"/>
        </w:rPr>
        <w:t>cvs_datastore_fill_projection.ps1</w:t>
      </w:r>
      <w:r>
        <w:t xml:space="preserve"> as an Orchestrator workflow. Keep a </w:t>
      </w:r>
      <w:r>
        <w:t>much smaller Orchestrator workflow only if the bespoke banded email is itself a requirement.</w:t>
      </w:r>
    </w:p>
    <w:p w14:paraId="6E1DA2E2" w14:textId="77777777" w:rsidR="00276122" w:rsidRDefault="004B56A3">
      <w:pPr>
        <w:pStyle w:val="BodyText"/>
      </w:pPr>
      <w:r>
        <w:rPr>
          <w:b/>
          <w:bCs/>
        </w:rPr>
        <w:t>Date:</w:t>
      </w:r>
      <w:r>
        <w:t xml:space="preserve"> 2026-08-13 </w:t>
      </w:r>
      <w:r>
        <w:rPr>
          <w:b/>
          <w:bCs/>
        </w:rPr>
        <w:t>Status:</w:t>
      </w:r>
      <w:r>
        <w:t xml:space="preserve"> Advisory — decision required before any projection work is scheduled</w:t>
      </w:r>
    </w:p>
    <w:p w14:paraId="01FEAFD7" w14:textId="77777777" w:rsidR="00276122" w:rsidRDefault="004B56A3">
      <w:r>
        <w:pict w14:anchorId="0ABF6893">
          <v:rect id="_x0000_i1025" style="width:0;height:1.5pt" o:hralign="center" o:hrstd="t" o:hr="t"/>
        </w:pict>
      </w:r>
    </w:p>
    <w:p w14:paraId="22AC88C6" w14:textId="77777777" w:rsidR="00276122" w:rsidRDefault="004B56A3">
      <w:pPr>
        <w:pStyle w:val="Heading2"/>
      </w:pPr>
      <w:bookmarkStart w:id="2" w:name="Xbd0c3a6ca726e3de06b3a7e97d2ea64dd5a3eae"/>
      <w:bookmarkStart w:id="3" w:name="_Toc237519964"/>
      <w:r>
        <w:t>1. What the projection script does</w:t>
      </w:r>
      <w:bookmarkEnd w:id="3"/>
    </w:p>
    <w:p w14:paraId="5007DA37" w14:textId="77777777" w:rsidR="00276122" w:rsidRDefault="004B56A3">
      <w:pPr>
        <w:pStyle w:val="FirstParagraph"/>
      </w:pPr>
      <w:r>
        <w:rPr>
          <w:rStyle w:val="VerbatimChar"/>
        </w:rPr>
        <w:t>cvs_datastore_fill_projection.ps1</w:t>
      </w:r>
      <w:r>
        <w:t xml:space="preserve"> samples </w:t>
      </w:r>
      <w:r>
        <w:rPr>
          <w:rStyle w:val="VerbatimChar"/>
        </w:rPr>
        <w:t>disk.used.latest</w:t>
      </w:r>
      <w:r>
        <w:t xml:space="preserve"> per datastore over a 7-day and a 30-day lookback, takes the </w:t>
      </w:r>
      <w:r>
        <w:rPr>
          <w:b/>
          <w:bCs/>
        </w:rPr>
        <w:t>faster</w:t>
      </w:r>
      <w:r>
        <w:t xml:space="preserve"> of the two positive growth rates, divides the gap to a 90% threshold by that rate, and tiers the result: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6"/>
        <w:gridCol w:w="6964"/>
      </w:tblGrid>
      <w:tr w:rsidR="00276122" w14:paraId="2F18FFF6" w14:textId="77777777" w:rsidTr="00276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4B48FE" w14:textId="77777777" w:rsidR="00276122" w:rsidRDefault="004B56A3">
            <w:pPr>
              <w:pStyle w:val="Compact"/>
            </w:pPr>
            <w:r>
              <w:t>Tier</w:t>
            </w:r>
          </w:p>
        </w:tc>
        <w:tc>
          <w:tcPr>
            <w:tcW w:w="0" w:type="auto"/>
          </w:tcPr>
          <w:p w14:paraId="5B3C3062" w14:textId="77777777" w:rsidR="00276122" w:rsidRDefault="004B56A3">
            <w:pPr>
              <w:pStyle w:val="Compact"/>
            </w:pPr>
            <w:r>
              <w:t>Condition</w:t>
            </w:r>
          </w:p>
        </w:tc>
      </w:tr>
      <w:tr w:rsidR="00276122" w14:paraId="479CA473" w14:textId="77777777">
        <w:tc>
          <w:tcPr>
            <w:tcW w:w="0" w:type="auto"/>
          </w:tcPr>
          <w:p w14:paraId="6D204A78" w14:textId="77777777" w:rsidR="00276122" w:rsidRDefault="004B56A3">
            <w:pPr>
              <w:pStyle w:val="Compact"/>
            </w:pPr>
            <w:r>
              <w:t>Immediate risk</w:t>
            </w:r>
          </w:p>
        </w:tc>
        <w:tc>
          <w:tcPr>
            <w:tcW w:w="0" w:type="auto"/>
          </w:tcPr>
          <w:p w14:paraId="0AD5D016" w14:textId="77777777" w:rsidR="00276122" w:rsidRDefault="004B56A3">
            <w:pPr>
              <w:pStyle w:val="Compact"/>
            </w:pPr>
            <w:r>
              <w:t>Already ≥ 90%, or projected to reach it within 30 days</w:t>
            </w:r>
          </w:p>
        </w:tc>
      </w:tr>
      <w:tr w:rsidR="00276122" w14:paraId="07B181B9" w14:textId="77777777">
        <w:tc>
          <w:tcPr>
            <w:tcW w:w="0" w:type="auto"/>
          </w:tcPr>
          <w:p w14:paraId="5F5D9C0E" w14:textId="77777777" w:rsidR="00276122" w:rsidRDefault="004B56A3">
            <w:pPr>
              <w:pStyle w:val="Compact"/>
            </w:pPr>
            <w:r>
              <w:t>Watchlist</w:t>
            </w:r>
          </w:p>
        </w:tc>
        <w:tc>
          <w:tcPr>
            <w:tcW w:w="0" w:type="auto"/>
          </w:tcPr>
          <w:p w14:paraId="25389B7B" w14:textId="77777777" w:rsidR="00276122" w:rsidRDefault="004B56A3">
            <w:pPr>
              <w:pStyle w:val="Compact"/>
            </w:pPr>
            <w:r>
              <w:t>Positive growth, but outside the 30-day window</w:t>
            </w:r>
          </w:p>
        </w:tc>
      </w:tr>
      <w:tr w:rsidR="00276122" w14:paraId="26B8B637" w14:textId="77777777">
        <w:tc>
          <w:tcPr>
            <w:tcW w:w="0" w:type="auto"/>
          </w:tcPr>
          <w:p w14:paraId="3FCA46FC" w14:textId="77777777" w:rsidR="00276122" w:rsidRDefault="004B56A3">
            <w:pPr>
              <w:pStyle w:val="Compact"/>
            </w:pPr>
            <w:r>
              <w:t>No/low growth</w:t>
            </w:r>
          </w:p>
        </w:tc>
        <w:tc>
          <w:tcPr>
            <w:tcW w:w="0" w:type="auto"/>
          </w:tcPr>
          <w:p w14:paraId="4E1214E7" w14:textId="77777777" w:rsidR="00276122" w:rsidRDefault="004B56A3">
            <w:pPr>
              <w:pStyle w:val="Compact"/>
            </w:pPr>
            <w:r>
              <w:t xml:space="preserve">Below </w:t>
            </w:r>
            <w:r>
              <w:rPr>
                <w:rStyle w:val="VerbatimChar"/>
              </w:rPr>
              <w:t>MinimumGrowthGBPerDay</w:t>
            </w:r>
            <w:r>
              <w:t xml:space="preserve"> (0.10), or no metric available — </w:t>
            </w:r>
            <w:r>
              <w:rPr>
                <w:b/>
                <w:bCs/>
              </w:rPr>
              <w:t>top 25 only</w:t>
            </w:r>
          </w:p>
        </w:tc>
      </w:tr>
    </w:tbl>
    <w:p w14:paraId="17331CB9" w14:textId="77777777" w:rsidR="00276122" w:rsidRDefault="004B56A3">
      <w:pPr>
        <w:pStyle w:val="BodyText"/>
      </w:pPr>
      <w:r>
        <w:t>Output is a styled HTML email plus a CSV in the debug folder.</w:t>
      </w:r>
    </w:p>
    <w:p w14:paraId="1EE1964A" w14:textId="77777777" w:rsidR="00276122" w:rsidRDefault="004B56A3">
      <w:r>
        <w:pict w14:anchorId="6C1B983B">
          <v:rect id="_x0000_i1026" style="width:0;height:1.5pt" o:hralign="center" o:hrstd="t" o:hr="t"/>
        </w:pict>
      </w:r>
    </w:p>
    <w:p w14:paraId="4F4F4762" w14:textId="77777777" w:rsidR="00276122" w:rsidRDefault="004B56A3">
      <w:pPr>
        <w:pStyle w:val="Heading2"/>
      </w:pPr>
      <w:bookmarkStart w:id="4" w:name="Xc07dce29c47b36cf178c4fe1eaa05694d63f238"/>
      <w:bookmarkStart w:id="5" w:name="_Toc237519965"/>
      <w:bookmarkEnd w:id="2"/>
      <w:r>
        <w:t>2. Why VCF Operations is the better home</w:t>
      </w:r>
      <w:bookmarkEnd w:id="5"/>
    </w:p>
    <w:p w14:paraId="2F7264C7" w14:textId="77777777" w:rsidR="00276122" w:rsidRDefault="004B56A3">
      <w:pPr>
        <w:pStyle w:val="FirstParagraph"/>
      </w:pPr>
      <w:r>
        <w:t xml:space="preserve">VCF Operations is already deployed in this environment and is </w:t>
      </w:r>
      <w:r>
        <w:rPr>
          <w:b/>
          <w:bCs/>
        </w:rPr>
        <w:t>already collecting these metrics continuously</w:t>
      </w:r>
      <w:r>
        <w:t>. The capability is native, not an add-on.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2"/>
        <w:gridCol w:w="7144"/>
      </w:tblGrid>
      <w:tr w:rsidR="00276122" w14:paraId="49807603" w14:textId="77777777" w:rsidTr="00276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90E887" w14:textId="77777777" w:rsidR="00276122" w:rsidRDefault="004B56A3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1C3572C3" w14:textId="77777777" w:rsidR="00276122" w:rsidRDefault="004B56A3">
            <w:pPr>
              <w:pStyle w:val="Compact"/>
            </w:pPr>
            <w:r>
              <w:t>VCF Operations capability</w:t>
            </w:r>
          </w:p>
        </w:tc>
      </w:tr>
      <w:tr w:rsidR="00276122" w14:paraId="6CF9B8F3" w14:textId="77777777">
        <w:tc>
          <w:tcPr>
            <w:tcW w:w="0" w:type="auto"/>
          </w:tcPr>
          <w:p w14:paraId="603C1C64" w14:textId="77777777" w:rsidR="00276122" w:rsidRDefault="004B56A3">
            <w:pPr>
              <w:pStyle w:val="Compact"/>
            </w:pPr>
            <w:r>
              <w:t>Days until a datastore fills</w:t>
            </w:r>
          </w:p>
        </w:tc>
        <w:tc>
          <w:tcPr>
            <w:tcW w:w="0" w:type="auto"/>
          </w:tcPr>
          <w:p w14:paraId="7D1A1738" w14:textId="77777777" w:rsidR="00276122" w:rsidRDefault="004B56A3">
            <w:pPr>
              <w:pStyle w:val="Compact"/>
            </w:pPr>
            <w:r>
              <w:rPr>
                <w:rStyle w:val="VerbatimChar"/>
                <w:b/>
                <w:bCs/>
              </w:rPr>
              <w:t>Capacity | Time Remaining</w:t>
            </w:r>
            <w:r>
              <w:t xml:space="preserve"> on every Datastore object</w:t>
            </w:r>
          </w:p>
        </w:tc>
      </w:tr>
      <w:tr w:rsidR="00276122" w14:paraId="51251140" w14:textId="77777777">
        <w:tc>
          <w:tcPr>
            <w:tcW w:w="0" w:type="auto"/>
          </w:tcPr>
          <w:p w14:paraId="43393AFD" w14:textId="77777777" w:rsidR="00276122" w:rsidRDefault="004B56A3">
            <w:pPr>
              <w:pStyle w:val="Compact"/>
            </w:pPr>
            <w:r>
              <w:t>Headroom before a threshold</w:t>
            </w:r>
          </w:p>
        </w:tc>
        <w:tc>
          <w:tcPr>
            <w:tcW w:w="0" w:type="auto"/>
          </w:tcPr>
          <w:p w14:paraId="0598C75E" w14:textId="77777777" w:rsidR="00276122" w:rsidRDefault="004B56A3">
            <w:pPr>
              <w:pStyle w:val="Compact"/>
            </w:pPr>
            <w:r>
              <w:rPr>
                <w:rStyle w:val="VerbatimChar"/>
                <w:b/>
                <w:bCs/>
              </w:rPr>
              <w:t>Capacity | Capacity Remaining</w:t>
            </w:r>
            <w:r>
              <w:t>, with thresholds set per policy</w:t>
            </w:r>
          </w:p>
        </w:tc>
      </w:tr>
      <w:tr w:rsidR="00276122" w14:paraId="4F79899A" w14:textId="77777777">
        <w:tc>
          <w:tcPr>
            <w:tcW w:w="0" w:type="auto"/>
          </w:tcPr>
          <w:p w14:paraId="1613B59F" w14:textId="77777777" w:rsidR="00276122" w:rsidRDefault="004B56A3">
            <w:pPr>
              <w:pStyle w:val="Compact"/>
            </w:pPr>
            <w:r>
              <w:t>Thin-provisioning overcommit</w:t>
            </w:r>
          </w:p>
        </w:tc>
        <w:tc>
          <w:tcPr>
            <w:tcW w:w="0" w:type="auto"/>
          </w:tcPr>
          <w:p w14:paraId="0D2B416C" w14:textId="77777777" w:rsidR="00276122" w:rsidRDefault="004B56A3">
            <w:pPr>
              <w:pStyle w:val="Compact"/>
            </w:pPr>
            <w:r>
              <w:rPr>
                <w:rStyle w:val="VerbatimChar"/>
                <w:b/>
                <w:bCs/>
              </w:rPr>
              <w:t>Disk Space | Provisioned Space</w:t>
            </w:r>
            <w:r>
              <w:t xml:space="preserve"> and space-overcommitment metrics</w:t>
            </w:r>
          </w:p>
        </w:tc>
      </w:tr>
      <w:tr w:rsidR="00276122" w14:paraId="4DAE44EB" w14:textId="77777777">
        <w:tc>
          <w:tcPr>
            <w:tcW w:w="0" w:type="auto"/>
          </w:tcPr>
          <w:p w14:paraId="04A0A9B9" w14:textId="77777777" w:rsidR="00276122" w:rsidRDefault="004B56A3">
            <w:pPr>
              <w:pStyle w:val="Compact"/>
            </w:pPr>
            <w:r>
              <w:t>Alert when a datastore is at risk</w:t>
            </w:r>
          </w:p>
        </w:tc>
        <w:tc>
          <w:tcPr>
            <w:tcW w:w="0" w:type="auto"/>
          </w:tcPr>
          <w:p w14:paraId="229BCA58" w14:textId="77777777" w:rsidR="00276122" w:rsidRDefault="004B56A3">
            <w:pPr>
              <w:pStyle w:val="Compact"/>
            </w:pPr>
            <w:r>
              <w:t xml:space="preserve">OOTB alert definition </w:t>
            </w:r>
            <w:r>
              <w:rPr>
                <w:b/>
                <w:bCs/>
              </w:rPr>
              <w:t>"Datastore is running out of disk space"</w:t>
            </w:r>
            <w:r>
              <w:t>, with symptoms on time-remaining and utilisation</w:t>
            </w:r>
          </w:p>
        </w:tc>
      </w:tr>
      <w:tr w:rsidR="00276122" w14:paraId="7EB57567" w14:textId="77777777">
        <w:tc>
          <w:tcPr>
            <w:tcW w:w="0" w:type="auto"/>
          </w:tcPr>
          <w:p w14:paraId="3196D8FE" w14:textId="77777777" w:rsidR="00276122" w:rsidRDefault="004B56A3">
            <w:pPr>
              <w:pStyle w:val="Compact"/>
            </w:pPr>
            <w:r>
              <w:t>Emailed report on a schedule</w:t>
            </w:r>
          </w:p>
        </w:tc>
        <w:tc>
          <w:tcPr>
            <w:tcW w:w="0" w:type="auto"/>
          </w:tcPr>
          <w:p w14:paraId="030F5827" w14:textId="77777777" w:rsidR="00276122" w:rsidRDefault="004B56A3">
            <w:pPr>
              <w:pStyle w:val="Compact"/>
            </w:pPr>
            <w:r>
              <w:rPr>
                <w:b/>
                <w:bCs/>
              </w:rPr>
              <w:t>Views → Reports</w:t>
            </w:r>
            <w:r>
              <w:t>, scheduled and delivered as PDF/CSV via the Standard Email Plugin</w:t>
            </w:r>
          </w:p>
        </w:tc>
      </w:tr>
      <w:tr w:rsidR="00276122" w14:paraId="6C628776" w14:textId="77777777">
        <w:tc>
          <w:tcPr>
            <w:tcW w:w="0" w:type="auto"/>
          </w:tcPr>
          <w:p w14:paraId="1265FB31" w14:textId="77777777" w:rsidR="00276122" w:rsidRDefault="004B56A3">
            <w:pPr>
              <w:pStyle w:val="Compact"/>
            </w:pPr>
            <w:r>
              <w:t>Multi-vCenter</w:t>
            </w:r>
          </w:p>
        </w:tc>
        <w:tc>
          <w:tcPr>
            <w:tcW w:w="0" w:type="auto"/>
          </w:tcPr>
          <w:p w14:paraId="6D623A46" w14:textId="77777777" w:rsidR="00276122" w:rsidRDefault="004B56A3">
            <w:pPr>
              <w:pStyle w:val="Compact"/>
            </w:pPr>
            <w:r>
              <w:t>Native — a single Operations instance spans all five</w:t>
            </w:r>
          </w:p>
        </w:tc>
      </w:tr>
    </w:tbl>
    <w:p w14:paraId="1AF3B9C6" w14:textId="77777777" w:rsidR="00276122" w:rsidRDefault="004B56A3">
      <w:pPr>
        <w:pStyle w:val="Heading3"/>
      </w:pPr>
      <w:bookmarkStart w:id="6" w:name="X07aee176e904ab342308df913b386d3aba68e49"/>
      <w:bookmarkStart w:id="7" w:name="_Toc237519966"/>
      <w:r>
        <w:t>Three reasons this is better, not merely equivalent</w:t>
      </w:r>
      <w:bookmarkEnd w:id="7"/>
    </w:p>
    <w:p w14:paraId="132A96CE" w14:textId="77777777" w:rsidR="00276122" w:rsidRDefault="004B56A3">
      <w:pPr>
        <w:numPr>
          <w:ilvl w:val="0"/>
          <w:numId w:val="2"/>
        </w:numPr>
      </w:pPr>
      <w:r>
        <w:rPr>
          <w:b/>
          <w:bCs/>
        </w:rPr>
        <w:t>The projection model is stronger.</w:t>
      </w:r>
      <w:r>
        <w:t xml:space="preserve"> The script fits a straight line through two points — the first and last sample in the window. A datastore where a large VM was deleted early in the window projects as </w:t>
      </w:r>
      <w:r>
        <w:rPr>
          <w:b/>
          <w:bCs/>
        </w:rPr>
        <w:t>flat</w:t>
      </w:r>
      <w:r>
        <w:t xml:space="preserve">; one that spiked and recovered projects as </w:t>
      </w:r>
      <w:r>
        <w:rPr>
          <w:b/>
          <w:bCs/>
        </w:rPr>
        <w:t>growing</w:t>
      </w:r>
      <w:r>
        <w:t xml:space="preserve">. Operations' capacity engine works from months of history </w:t>
      </w:r>
      <w:r>
        <w:t>with trend handling and does not have that failure mode. The script also floors the observed span at one day (</w:t>
      </w:r>
      <w:r>
        <w:rPr>
          <w:rStyle w:val="VerbatimChar"/>
        </w:rPr>
        <w:t>[Math]::Max(1, …TotalDays)</w:t>
      </w:r>
      <w:r>
        <w:t xml:space="preserve">), which </w:t>
      </w:r>
      <w:r>
        <w:rPr>
          <w:b/>
          <w:bCs/>
        </w:rPr>
        <w:t>understates</w:t>
      </w:r>
      <w:r>
        <w:t xml:space="preserve"> growth when samples span less than a day — erring towards "safe" on a report whose whole purpose is to warn.</w:t>
      </w:r>
    </w:p>
    <w:p w14:paraId="63E82750" w14:textId="77777777" w:rsidR="00276122" w:rsidRDefault="004B56A3">
      <w:pPr>
        <w:numPr>
          <w:ilvl w:val="0"/>
          <w:numId w:val="2"/>
        </w:numPr>
      </w:pPr>
      <w:r>
        <w:rPr>
          <w:b/>
          <w:bCs/>
        </w:rPr>
        <w:t>An alert beats a weekly email.</w:t>
      </w:r>
      <w:r>
        <w:t xml:space="preserve"> A datastore crossing its projection at 02:00 on a Tuesday is actionable that morning. On the current model it surfaces in the next scheduled send, and only if someone reads past the first table.</w:t>
      </w:r>
    </w:p>
    <w:p w14:paraId="5C391708" w14:textId="77777777" w:rsidR="00276122" w:rsidRDefault="004B56A3">
      <w:pPr>
        <w:numPr>
          <w:ilvl w:val="0"/>
          <w:numId w:val="2"/>
        </w:numPr>
      </w:pPr>
      <w:r>
        <w:rPr>
          <w:b/>
          <w:bCs/>
        </w:rPr>
        <w:t>Nothing to maintain.</w:t>
      </w:r>
      <w:r>
        <w:t xml:space="preserve"> No PowerCLI version to track, no </w:t>
      </w:r>
      <w:r>
        <w:rPr>
          <w:rStyle w:val="VerbatimChar"/>
        </w:rPr>
        <w:t>Get-Stat</w:t>
      </w:r>
      <w:r>
        <w:t xml:space="preserve"> metric-name fallback list (</w:t>
      </w:r>
      <w:r>
        <w:rPr>
          <w:rStyle w:val="VerbatimChar"/>
        </w:rPr>
        <w:t>disk.used.latest.average</w:t>
      </w:r>
      <w:r>
        <w:t xml:space="preserve"> then </w:t>
      </w:r>
      <w:r>
        <w:rPr>
          <w:rStyle w:val="VerbatimChar"/>
        </w:rPr>
        <w:t>disk.used.latest</w:t>
      </w:r>
      <w:r>
        <w:t xml:space="preserve">), no per-datastore API loop, no CSV housekeeping. It also removes the load: the script re-queries historical stats for every datastore on every run — roughly </w:t>
      </w:r>
      <w:r>
        <w:rPr>
          <w:b/>
          <w:bCs/>
        </w:rPr>
        <w:t xml:space="preserve">two </w:t>
      </w:r>
      <w:r>
        <w:rPr>
          <w:rStyle w:val="VerbatimChar"/>
          <w:b/>
          <w:bCs/>
        </w:rPr>
        <w:t>Get-Stat</w:t>
      </w:r>
      <w:r>
        <w:rPr>
          <w:b/>
          <w:bCs/>
        </w:rPr>
        <w:t xml:space="preserve"> calls per datastore per run</w:t>
      </w:r>
      <w:r>
        <w:t>, against vCenters that have already handed the same data to Operations.</w:t>
      </w:r>
    </w:p>
    <w:p w14:paraId="1535681F" w14:textId="77777777" w:rsidR="00276122" w:rsidRDefault="004B56A3">
      <w:r>
        <w:pict w14:anchorId="79ABFE8D">
          <v:rect id="_x0000_i1027" style="width:0;height:1.5pt" o:hralign="center" o:hrstd="t" o:hr="t"/>
        </w:pict>
      </w:r>
    </w:p>
    <w:p w14:paraId="3CE83B6A" w14:textId="77777777" w:rsidR="00276122" w:rsidRDefault="004B56A3">
      <w:pPr>
        <w:pStyle w:val="Heading2"/>
      </w:pPr>
      <w:bookmarkStart w:id="8" w:name="Xde72eaa702136109b76b22f4e9a094f6090e5be"/>
      <w:bookmarkStart w:id="9" w:name="_Toc237519967"/>
      <w:bookmarkEnd w:id="4"/>
      <w:bookmarkEnd w:id="6"/>
      <w:r>
        <w:t>3. What VCF Operations does not give you</w:t>
      </w:r>
      <w:bookmarkEnd w:id="9"/>
    </w:p>
    <w:p w14:paraId="343C164B" w14:textId="77777777" w:rsidR="00276122" w:rsidRDefault="004B56A3">
      <w:pPr>
        <w:pStyle w:val="FirstParagraph"/>
      </w:pPr>
      <w:r>
        <w:t>Stated plainly, so the decision is made with both sides visible.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2"/>
        <w:gridCol w:w="6220"/>
        <w:gridCol w:w="1824"/>
      </w:tblGrid>
      <w:tr w:rsidR="00276122" w14:paraId="23F8290F" w14:textId="77777777" w:rsidTr="00276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300B59" w14:textId="77777777" w:rsidR="00276122" w:rsidRDefault="004B56A3">
            <w:pPr>
              <w:pStyle w:val="Compact"/>
            </w:pPr>
            <w:r>
              <w:t>Gap</w:t>
            </w:r>
          </w:p>
        </w:tc>
        <w:tc>
          <w:tcPr>
            <w:tcW w:w="0" w:type="auto"/>
          </w:tcPr>
          <w:p w14:paraId="4E300F7A" w14:textId="77777777" w:rsidR="00276122" w:rsidRDefault="004B56A3">
            <w:pPr>
              <w:pStyle w:val="Compact"/>
            </w:pPr>
            <w:r>
              <w:t>Detail</w:t>
            </w:r>
          </w:p>
        </w:tc>
        <w:tc>
          <w:tcPr>
            <w:tcW w:w="0" w:type="auto"/>
          </w:tcPr>
          <w:p w14:paraId="24CE935D" w14:textId="77777777" w:rsidR="00276122" w:rsidRDefault="004B56A3">
            <w:pPr>
              <w:pStyle w:val="Compact"/>
            </w:pPr>
            <w:r>
              <w:t>Weight</w:t>
            </w:r>
          </w:p>
        </w:tc>
      </w:tr>
      <w:tr w:rsidR="00276122" w14:paraId="200F800F" w14:textId="77777777">
        <w:tc>
          <w:tcPr>
            <w:tcW w:w="0" w:type="auto"/>
          </w:tcPr>
          <w:p w14:paraId="024BE8DD" w14:textId="77777777" w:rsidR="00276122" w:rsidRDefault="004B56A3">
            <w:pPr>
              <w:pStyle w:val="Compact"/>
            </w:pPr>
            <w:r>
              <w:rPr>
                <w:b/>
                <w:bCs/>
              </w:rPr>
              <w:t>The exact email format</w:t>
            </w:r>
          </w:p>
        </w:tc>
        <w:tc>
          <w:tcPr>
            <w:tcW w:w="0" w:type="auto"/>
          </w:tcPr>
          <w:p w14:paraId="3531138B" w14:textId="77777777" w:rsidR="00276122" w:rsidRDefault="004B56A3">
            <w:pPr>
              <w:pStyle w:val="Compact"/>
            </w:pPr>
            <w:r>
              <w:t>Operations Views produce a scheduled list report (PDF/CSV). You can select the same columns and group by severity, but you will not reproduce the banded HTML layout the team reads today.</w:t>
            </w:r>
          </w:p>
        </w:tc>
        <w:tc>
          <w:tcPr>
            <w:tcW w:w="0" w:type="auto"/>
          </w:tcPr>
          <w:p w14:paraId="36C78A40" w14:textId="77777777" w:rsidR="00276122" w:rsidRDefault="004B56A3">
            <w:pPr>
              <w:pStyle w:val="Compact"/>
            </w:pPr>
            <w:r>
              <w:t>The main one</w:t>
            </w:r>
          </w:p>
        </w:tc>
      </w:tr>
      <w:tr w:rsidR="00276122" w14:paraId="1403F5C1" w14:textId="77777777">
        <w:tc>
          <w:tcPr>
            <w:tcW w:w="0" w:type="auto"/>
          </w:tcPr>
          <w:p w14:paraId="0DB08BE1" w14:textId="77777777" w:rsidR="00276122" w:rsidRDefault="004B56A3">
            <w:pPr>
              <w:pStyle w:val="Compact"/>
            </w:pPr>
            <w:r>
              <w:rPr>
                <w:b/>
                <w:bCs/>
              </w:rPr>
              <w:t>Report look-and-feel control</w:t>
            </w:r>
          </w:p>
        </w:tc>
        <w:tc>
          <w:tcPr>
            <w:tcW w:w="0" w:type="auto"/>
          </w:tcPr>
          <w:p w14:paraId="48F2F4B4" w14:textId="77777777" w:rsidR="00276122" w:rsidRDefault="004B56A3">
            <w:pPr>
              <w:pStyle w:val="Compact"/>
            </w:pPr>
            <w:r>
              <w:t>Branding, colour banding, section ordering and prose are limited to what the Views/Reports engine offers.</w:t>
            </w:r>
          </w:p>
        </w:tc>
        <w:tc>
          <w:tcPr>
            <w:tcW w:w="0" w:type="auto"/>
          </w:tcPr>
          <w:p w14:paraId="2BA27F8C" w14:textId="77777777" w:rsidR="00276122" w:rsidRDefault="004B56A3">
            <w:pPr>
              <w:pStyle w:val="Compact"/>
            </w:pPr>
            <w:r>
              <w:t>Moderate</w:t>
            </w:r>
          </w:p>
        </w:tc>
      </w:tr>
      <w:tr w:rsidR="00276122" w14:paraId="7BC78D1C" w14:textId="77777777">
        <w:tc>
          <w:tcPr>
            <w:tcW w:w="0" w:type="auto"/>
          </w:tcPr>
          <w:p w14:paraId="76F7A30F" w14:textId="77777777" w:rsidR="00276122" w:rsidRDefault="004B56A3">
            <w:pPr>
              <w:pStyle w:val="Compact"/>
            </w:pPr>
            <w:r>
              <w:rPr>
                <w:b/>
                <w:bCs/>
              </w:rPr>
              <w:t>Bespoke derived columns</w:t>
            </w:r>
          </w:p>
        </w:tc>
        <w:tc>
          <w:tcPr>
            <w:tcW w:w="0" w:type="auto"/>
          </w:tcPr>
          <w:p w14:paraId="15376E43" w14:textId="77777777" w:rsidR="00276122" w:rsidRDefault="004B56A3">
            <w:pPr>
              <w:pStyle w:val="Compact"/>
            </w:pPr>
            <w:r>
              <w:t>Anything not expressible as a metric or super metric needs a super metric or a different tool.</w:t>
            </w:r>
          </w:p>
        </w:tc>
        <w:tc>
          <w:tcPr>
            <w:tcW w:w="0" w:type="auto"/>
          </w:tcPr>
          <w:p w14:paraId="0A8DC4E7" w14:textId="77777777" w:rsidR="00276122" w:rsidRDefault="004B56A3">
            <w:pPr>
              <w:pStyle w:val="Compact"/>
            </w:pPr>
            <w:r>
              <w:t>Low — the required columns all exist</w:t>
            </w:r>
          </w:p>
        </w:tc>
      </w:tr>
      <w:tr w:rsidR="00276122" w14:paraId="6500EA0D" w14:textId="77777777">
        <w:tc>
          <w:tcPr>
            <w:tcW w:w="0" w:type="auto"/>
          </w:tcPr>
          <w:p w14:paraId="317D580B" w14:textId="77777777" w:rsidR="00276122" w:rsidRDefault="004B56A3">
            <w:pPr>
              <w:pStyle w:val="Compact"/>
            </w:pPr>
            <w:r>
              <w:rPr>
                <w:b/>
                <w:bCs/>
              </w:rPr>
              <w:t>Change of habit</w:t>
            </w:r>
          </w:p>
        </w:tc>
        <w:tc>
          <w:tcPr>
            <w:tcW w:w="0" w:type="auto"/>
          </w:tcPr>
          <w:p w14:paraId="30A774FD" w14:textId="77777777" w:rsidR="00276122" w:rsidRDefault="004B56A3">
            <w:pPr>
              <w:pStyle w:val="Compact"/>
            </w:pPr>
            <w:r>
              <w:t>The team currently reads an email. Moving to alerts is a process change, not just a tooling change.</w:t>
            </w:r>
          </w:p>
        </w:tc>
        <w:tc>
          <w:tcPr>
            <w:tcW w:w="0" w:type="auto"/>
          </w:tcPr>
          <w:p w14:paraId="233FE355" w14:textId="77777777" w:rsidR="00276122" w:rsidRDefault="004B56A3">
            <w:pPr>
              <w:pStyle w:val="Compact"/>
            </w:pPr>
            <w:r>
              <w:t>Moderate — plan it</w:t>
            </w:r>
          </w:p>
        </w:tc>
      </w:tr>
    </w:tbl>
    <w:p w14:paraId="6F1FDB12" w14:textId="77777777" w:rsidR="00276122" w:rsidRDefault="004B56A3">
      <w:r>
        <w:pict w14:anchorId="56514F72">
          <v:rect id="_x0000_i1028" style="width:0;height:1.5pt" o:hralign="center" o:hrstd="t" o:hr="t"/>
        </w:pict>
      </w:r>
    </w:p>
    <w:p w14:paraId="34244663" w14:textId="77777777" w:rsidR="00276122" w:rsidRDefault="004B56A3">
      <w:pPr>
        <w:pStyle w:val="Heading2"/>
      </w:pPr>
      <w:bookmarkStart w:id="10" w:name="X8d2c6fe9e1fe7d4af56c7cd6bd15e0adc09b70a"/>
      <w:bookmarkStart w:id="11" w:name="_Toc237519968"/>
      <w:bookmarkEnd w:id="8"/>
      <w:r>
        <w:t>4. Recommended split</w:t>
      </w:r>
      <w:bookmarkEnd w:id="1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44"/>
        <w:gridCol w:w="4532"/>
      </w:tblGrid>
      <w:tr w:rsidR="00276122" w14:paraId="009ACAC7" w14:textId="77777777" w:rsidTr="00276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AD1FC0" w14:textId="77777777" w:rsidR="00276122" w:rsidRDefault="004B56A3">
            <w:pPr>
              <w:pStyle w:val="Compact"/>
            </w:pPr>
            <w:r>
              <w:t>Concern</w:t>
            </w:r>
          </w:p>
        </w:tc>
        <w:tc>
          <w:tcPr>
            <w:tcW w:w="0" w:type="auto"/>
          </w:tcPr>
          <w:p w14:paraId="02A7F626" w14:textId="77777777" w:rsidR="00276122" w:rsidRDefault="004B56A3">
            <w:pPr>
              <w:pStyle w:val="Compact"/>
            </w:pPr>
            <w:r>
              <w:t>Owner</w:t>
            </w:r>
          </w:p>
        </w:tc>
      </w:tr>
      <w:tr w:rsidR="00276122" w14:paraId="635CDF1C" w14:textId="77777777">
        <w:tc>
          <w:tcPr>
            <w:tcW w:w="0" w:type="auto"/>
          </w:tcPr>
          <w:p w14:paraId="4D61E5E6" w14:textId="77777777" w:rsidR="00276122" w:rsidRDefault="004B56A3">
            <w:pPr>
              <w:pStyle w:val="Compact"/>
            </w:pPr>
            <w:r>
              <w:t>Fill projection, days-to-full, trend analysis</w:t>
            </w:r>
          </w:p>
        </w:tc>
        <w:tc>
          <w:tcPr>
            <w:tcW w:w="0" w:type="auto"/>
          </w:tcPr>
          <w:p w14:paraId="3FBD7C78" w14:textId="77777777" w:rsidR="00276122" w:rsidRDefault="004B56A3">
            <w:pPr>
              <w:pStyle w:val="Compact"/>
            </w:pPr>
            <w:r>
              <w:rPr>
                <w:b/>
                <w:bCs/>
              </w:rPr>
              <w:t>VCF Operations</w:t>
            </w:r>
            <w:r>
              <w:t xml:space="preserve"> — capacity analytics</w:t>
            </w:r>
          </w:p>
        </w:tc>
      </w:tr>
      <w:tr w:rsidR="00276122" w14:paraId="735BA4A1" w14:textId="77777777">
        <w:tc>
          <w:tcPr>
            <w:tcW w:w="0" w:type="auto"/>
          </w:tcPr>
          <w:p w14:paraId="7CE81500" w14:textId="77777777" w:rsidR="00276122" w:rsidRDefault="004B56A3">
            <w:pPr>
              <w:pStyle w:val="Compact"/>
            </w:pPr>
            <w:r>
              <w:t>Alerting when a datastore is projected to fill</w:t>
            </w:r>
          </w:p>
        </w:tc>
        <w:tc>
          <w:tcPr>
            <w:tcW w:w="0" w:type="auto"/>
          </w:tcPr>
          <w:p w14:paraId="6E7AAD6A" w14:textId="77777777" w:rsidR="00276122" w:rsidRDefault="004B56A3">
            <w:pPr>
              <w:pStyle w:val="Compact"/>
            </w:pPr>
            <w:r>
              <w:rPr>
                <w:b/>
                <w:bCs/>
              </w:rPr>
              <w:t>VCF Operations</w:t>
            </w:r>
            <w:r>
              <w:t xml:space="preserve"> — alert definition + email notification</w:t>
            </w:r>
          </w:p>
        </w:tc>
      </w:tr>
      <w:tr w:rsidR="00276122" w14:paraId="7718E176" w14:textId="77777777">
        <w:tc>
          <w:tcPr>
            <w:tcW w:w="0" w:type="auto"/>
          </w:tcPr>
          <w:p w14:paraId="1DC7AEB3" w14:textId="77777777" w:rsidR="00276122" w:rsidRDefault="004B56A3">
            <w:pPr>
              <w:pStyle w:val="Compact"/>
            </w:pPr>
            <w:r>
              <w:t>Historical reporting and CSV export</w:t>
            </w:r>
          </w:p>
        </w:tc>
        <w:tc>
          <w:tcPr>
            <w:tcW w:w="0" w:type="auto"/>
          </w:tcPr>
          <w:p w14:paraId="1085C666" w14:textId="77777777" w:rsidR="00276122" w:rsidRDefault="004B56A3">
            <w:pPr>
              <w:pStyle w:val="Compact"/>
            </w:pPr>
            <w:r>
              <w:rPr>
                <w:b/>
                <w:bCs/>
              </w:rPr>
              <w:t>VCF Operations</w:t>
            </w:r>
            <w:r>
              <w:t xml:space="preserve"> — scheduled Views/Reports</w:t>
            </w:r>
          </w:p>
        </w:tc>
      </w:tr>
      <w:tr w:rsidR="00276122" w14:paraId="3FED0798" w14:textId="77777777">
        <w:tc>
          <w:tcPr>
            <w:tcW w:w="0" w:type="auto"/>
          </w:tcPr>
          <w:p w14:paraId="108E64BB" w14:textId="77777777" w:rsidR="00276122" w:rsidRDefault="004B56A3">
            <w:pPr>
              <w:pStyle w:val="Compact"/>
            </w:pPr>
            <w:r>
              <w:t>Point-in-time banded usage email, if the format is a hard requirement</w:t>
            </w:r>
          </w:p>
        </w:tc>
        <w:tc>
          <w:tcPr>
            <w:tcW w:w="0" w:type="auto"/>
          </w:tcPr>
          <w:p w14:paraId="41BB0CF6" w14:textId="77777777" w:rsidR="00276122" w:rsidRDefault="004B56A3">
            <w:pPr>
              <w:pStyle w:val="Compact"/>
            </w:pPr>
            <w:r>
              <w:rPr>
                <w:b/>
                <w:bCs/>
              </w:rPr>
              <w:t>Orchestrator</w:t>
            </w:r>
            <w:r>
              <w:t xml:space="preserve"> — the workflow already built in this deliverable</w:t>
            </w:r>
          </w:p>
        </w:tc>
      </w:tr>
      <w:tr w:rsidR="00276122" w14:paraId="1E4A7436" w14:textId="77777777">
        <w:tc>
          <w:tcPr>
            <w:tcW w:w="0" w:type="auto"/>
          </w:tcPr>
          <w:p w14:paraId="03491DFA" w14:textId="77777777" w:rsidR="00276122" w:rsidRDefault="004B56A3">
            <w:pPr>
              <w:pStyle w:val="Compact"/>
            </w:pPr>
            <w:r>
              <w:t xml:space="preserve">Any </w:t>
            </w:r>
            <w:r>
              <w:rPr>
                <w:i/>
                <w:iCs/>
              </w:rPr>
              <w:t>remediation</w:t>
            </w:r>
            <w:r>
              <w:t xml:space="preserve"> action (expand, Storage vMotion, reclaim)</w:t>
            </w:r>
          </w:p>
        </w:tc>
        <w:tc>
          <w:tcPr>
            <w:tcW w:w="0" w:type="auto"/>
          </w:tcPr>
          <w:p w14:paraId="270FA570" w14:textId="77777777" w:rsidR="00276122" w:rsidRDefault="004B56A3">
            <w:pPr>
              <w:pStyle w:val="Compact"/>
            </w:pPr>
            <w:r>
              <w:rPr>
                <w:b/>
                <w:bCs/>
              </w:rPr>
              <w:t>Orchestrator</w:t>
            </w:r>
            <w:r>
              <w:t xml:space="preserve"> — triggered by an Operations alert</w:t>
            </w:r>
          </w:p>
        </w:tc>
      </w:tr>
    </w:tbl>
    <w:p w14:paraId="295900C7" w14:textId="77777777" w:rsidR="00276122" w:rsidRDefault="004B56A3">
      <w:pPr>
        <w:pStyle w:val="BodyText"/>
      </w:pPr>
      <w:r>
        <w:t xml:space="preserve">The last row is the pattern worth aiming at: </w:t>
      </w:r>
      <w:r>
        <w:rPr>
          <w:b/>
          <w:bCs/>
        </w:rPr>
        <w:t>Operations decides, Orchestrator acts.</w:t>
      </w:r>
      <w:r>
        <w:t xml:space="preserve"> Operations already supports invoking automation on an alert, which is a materially better end state than a report that a human reads and then acts on manually.</w:t>
      </w:r>
    </w:p>
    <w:p w14:paraId="567F9EDE" w14:textId="77777777" w:rsidR="00276122" w:rsidRDefault="004B56A3">
      <w:r>
        <w:pict w14:anchorId="0861BBBB">
          <v:rect id="_x0000_i1029" style="width:0;height:1.5pt" o:hralign="center" o:hrstd="t" o:hr="t"/>
        </w:pict>
      </w:r>
    </w:p>
    <w:p w14:paraId="78FE9CE9" w14:textId="77777777" w:rsidR="00276122" w:rsidRDefault="004B56A3">
      <w:pPr>
        <w:pStyle w:val="Heading2"/>
      </w:pPr>
      <w:bookmarkStart w:id="12" w:name="Xc64a0cfc3b1c735d6e456c865ca5e3a7a22e89b"/>
      <w:bookmarkStart w:id="13" w:name="_Toc237519969"/>
      <w:bookmarkEnd w:id="10"/>
      <w:r>
        <w:t>5. Validation before retiring anything</w:t>
      </w:r>
      <w:bookmarkEnd w:id="13"/>
    </w:p>
    <w:p w14:paraId="5AD696EC" w14:textId="77777777" w:rsidR="00276122" w:rsidRDefault="004B56A3">
      <w:pPr>
        <w:pStyle w:val="FirstParagraph"/>
      </w:pPr>
      <w:r>
        <w:t>Do not switch off the script on the strength of this advisory alone.</w:t>
      </w:r>
    </w:p>
    <w:p w14:paraId="7568B45F" w14:textId="77777777" w:rsidR="00276122" w:rsidRDefault="004B56A3">
      <w:pPr>
        <w:pStyle w:val="Compact"/>
        <w:numPr>
          <w:ilvl w:val="0"/>
          <w:numId w:val="3"/>
        </w:numPr>
      </w:pPr>
      <w:r>
        <w:t xml:space="preserve">Open </w:t>
      </w:r>
      <w:r>
        <w:rPr>
          <w:b/>
          <w:bCs/>
        </w:rPr>
        <w:t>Environment → Datastore</w:t>
      </w:r>
      <w:r>
        <w:t xml:space="preserve"> in VCF Operations and confirm </w:t>
      </w:r>
      <w:r>
        <w:rPr>
          <w:rStyle w:val="VerbatimChar"/>
        </w:rPr>
        <w:t>Time Remaining</w:t>
      </w:r>
      <w:r>
        <w:t xml:space="preserve"> and </w:t>
      </w:r>
      <w:r>
        <w:rPr>
          <w:rStyle w:val="VerbatimChar"/>
        </w:rPr>
        <w:t>Capacity Remaining</w:t>
      </w:r>
      <w:r>
        <w:t xml:space="preserve"> are populated for a representative sample. Newly added objects need history before the analytics settle.</w:t>
      </w:r>
    </w:p>
    <w:p w14:paraId="4CDC9C25" w14:textId="77777777" w:rsidR="00276122" w:rsidRDefault="004B56A3">
      <w:pPr>
        <w:pStyle w:val="Compact"/>
        <w:numPr>
          <w:ilvl w:val="0"/>
          <w:numId w:val="3"/>
        </w:numPr>
      </w:pPr>
      <w:r>
        <w:t xml:space="preserve">Pick three datastores with known growth — one filling, one flat, one that recently had a large VM deleted — and compare Operations' </w:t>
      </w:r>
      <w:r>
        <w:rPr>
          <w:rStyle w:val="VerbatimChar"/>
        </w:rPr>
        <w:t>Time Remaining</w:t>
      </w:r>
      <w:r>
        <w:t xml:space="preserve"> against the script's </w:t>
      </w:r>
      <w:r>
        <w:rPr>
          <w:rStyle w:val="VerbatimChar"/>
        </w:rPr>
        <w:t>DaysToThreshold</w:t>
      </w:r>
      <w:r>
        <w:t xml:space="preserve">. </w:t>
      </w:r>
      <w:r>
        <w:rPr>
          <w:b/>
          <w:bCs/>
        </w:rPr>
        <w:t>The third is the interesting one</w:t>
      </w:r>
      <w:r>
        <w:t>: it is where the two-point fit is expected to disagree with Operations, and confirming that disagreement is the evidence for the recommendation.</w:t>
      </w:r>
    </w:p>
    <w:p w14:paraId="465F0631" w14:textId="77777777" w:rsidR="00276122" w:rsidRDefault="004B56A3">
      <w:pPr>
        <w:pStyle w:val="Compact"/>
        <w:numPr>
          <w:ilvl w:val="0"/>
          <w:numId w:val="3"/>
        </w:numPr>
      </w:pPr>
      <w:r>
        <w:t>Confirm the OOTB datastore space alert is enabled in the active policy and that its thresholds match the 90% / 30-day intent.</w:t>
      </w:r>
    </w:p>
    <w:p w14:paraId="467D5BF8" w14:textId="77777777" w:rsidR="00276122" w:rsidRDefault="004B56A3">
      <w:pPr>
        <w:pStyle w:val="Compact"/>
        <w:numPr>
          <w:ilvl w:val="0"/>
          <w:numId w:val="3"/>
        </w:numPr>
      </w:pPr>
      <w:r>
        <w:t xml:space="preserve">Build one scheduled View/Report with the columns the team wants and send it to a test recipient. Decide whether the format is acceptable </w:t>
      </w:r>
      <w:r>
        <w:rPr>
          <w:b/>
          <w:bCs/>
        </w:rPr>
        <w:t>before</w:t>
      </w:r>
      <w:r>
        <w:t xml:space="preserve"> committing to retire the email.</w:t>
      </w:r>
    </w:p>
    <w:p w14:paraId="523E0E96" w14:textId="77777777" w:rsidR="00276122" w:rsidRDefault="004B56A3">
      <w:pPr>
        <w:pStyle w:val="Compact"/>
        <w:numPr>
          <w:ilvl w:val="0"/>
          <w:numId w:val="3"/>
        </w:numPr>
      </w:pPr>
      <w:r>
        <w:t>Run both in parallel for two cycles, as with any other cutover in this programme.</w:t>
      </w:r>
    </w:p>
    <w:p w14:paraId="31C27400" w14:textId="77777777" w:rsidR="00276122" w:rsidRDefault="004B56A3">
      <w:r>
        <w:pict w14:anchorId="286BBD51">
          <v:rect id="_x0000_i1030" style="width:0;height:1.5pt" o:hralign="center" o:hrstd="t" o:hr="t"/>
        </w:pict>
      </w:r>
    </w:p>
    <w:p w14:paraId="0BE8DFDF" w14:textId="77777777" w:rsidR="00276122" w:rsidRDefault="004B56A3">
      <w:pPr>
        <w:pStyle w:val="Heading2"/>
      </w:pPr>
      <w:bookmarkStart w:id="14" w:name="X436aa5ab4429f030d576e6c8c455b56780f8fe7"/>
      <w:bookmarkStart w:id="15" w:name="_Toc237519970"/>
      <w:bookmarkEnd w:id="12"/>
      <w:r>
        <w:t>6. Impact on this deliverable</w:t>
      </w:r>
      <w:bookmarkEnd w:id="15"/>
    </w:p>
    <w:p w14:paraId="7FE12681" w14:textId="77777777" w:rsidR="00276122" w:rsidRDefault="004B56A3">
      <w:pPr>
        <w:pStyle w:val="FirstParagraph"/>
      </w:pPr>
      <w:r>
        <w:rPr>
          <w:b/>
          <w:bCs/>
        </w:rPr>
        <w:t>None to the code.</w:t>
      </w:r>
      <w:r>
        <w:t xml:space="preserve"> The workflow built here reports current usage; it never claimed to project. This advisory only settles whether a </w:t>
      </w:r>
      <w:r>
        <w:rPr>
          <w:i/>
          <w:iCs/>
        </w:rPr>
        <w:t>second</w:t>
      </w:r>
      <w:r>
        <w:t xml:space="preserve"> Orchestrator workflow should be built for projection — and the recommendation is no.</w:t>
      </w:r>
    </w:p>
    <w:p w14:paraId="7B8F216A" w14:textId="77777777" w:rsidR="00276122" w:rsidRDefault="004B56A3">
      <w:pPr>
        <w:pStyle w:val="BodyText"/>
      </w:pPr>
      <w:r>
        <w:t xml:space="preserve">If the recommendation is accepted, the follow-on question becomes whether the current-usage email is still wanted once Operations alerts are firing. If it is not, </w:t>
      </w:r>
      <w:r>
        <w:t xml:space="preserve">this deliverable's scope reduces to retiring </w:t>
      </w:r>
      <w:r>
        <w:rPr>
          <w:rStyle w:val="VerbatimChar"/>
        </w:rPr>
        <w:t>get_datastores_75_100_used.yml</w:t>
      </w:r>
      <w:r>
        <w:t xml:space="preserve"> with no Orchestrator replacement at all, which is a better outcome than either transition.</w:t>
      </w:r>
    </w:p>
    <w:p w14:paraId="3D01D7C5" w14:textId="77777777" w:rsidR="00276122" w:rsidRDefault="004B56A3">
      <w:pPr>
        <w:pStyle w:val="BodyText"/>
      </w:pPr>
      <w:r>
        <w:rPr>
          <w:b/>
          <w:bCs/>
        </w:rPr>
        <w:t xml:space="preserve">Recorded as open item 10 in </w:t>
      </w:r>
      <w:r>
        <w:rPr>
          <w:rStyle w:val="VerbatimChar"/>
          <w:b/>
          <w:bCs/>
        </w:rPr>
        <w:t>Change-Register.md</w:t>
      </w:r>
      <w:r>
        <w:rPr>
          <w:b/>
          <w:bCs/>
        </w:rPr>
        <w:t>.</w:t>
      </w:r>
      <w:bookmarkEnd w:id="0"/>
      <w:bookmarkEnd w:id="14"/>
    </w:p>
    <w:sectPr w:rsidR="0027612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2690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0F06D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38277405">
    <w:abstractNumId w:val="0"/>
  </w:num>
  <w:num w:numId="2" w16cid:durableId="8843670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645580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6122"/>
    <w:rsid w:val="00276122"/>
    <w:rsid w:val="004B56A3"/>
    <w:rsid w:val="00616A5D"/>
    <w:rsid w:val="009C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5C372"/>
  <w15:docId w15:val="{23F2F401-3042-4B66-9544-C960D564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20" w:line="252" w:lineRule="auto"/>
      <w:outlineLvl w:val="0"/>
    </w:pPr>
    <w:rPr>
      <w:rFonts w:ascii="Calibri Light" w:eastAsia="Calibri Light" w:hAnsi="Calibri Light" w:cs="Calibri Light"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 w:line="252" w:lineRule="auto"/>
      <w:outlineLvl w:val="1"/>
    </w:pPr>
    <w:rPr>
      <w:rFonts w:ascii="Calibri Light" w:eastAsia="Calibri Light" w:hAnsi="Calibri Light" w:cs="Calibri Light"/>
      <w:color w:val="2E5C8A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252" w:lineRule="auto"/>
      <w:outlineLvl w:val="2"/>
    </w:pPr>
    <w:rPr>
      <w:rFonts w:ascii="Calibri Light" w:eastAsia="Calibri Light" w:hAnsi="Calibri Light" w:cs="Calibri Light"/>
      <w:b/>
      <w:color w:val="44546A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3"/>
    </w:pPr>
    <w:rPr>
      <w:b/>
      <w:i/>
      <w:iCs/>
      <w:color w:val="44546A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4"/>
    </w:pPr>
    <w:rPr>
      <w:b/>
      <w:color w:val="59595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5"/>
    </w:pPr>
    <w:rPr>
      <w:b/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240" w:line="252" w:lineRule="auto"/>
      <w:contextualSpacing/>
      <w:jc w:val="center"/>
    </w:pPr>
    <w:rPr>
      <w:rFonts w:ascii="Calibri Light" w:eastAsia="Calibri Light" w:hAnsi="Calibri Light" w:cs="Calibri Light"/>
      <w:color w:val="1F3864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</w:pPr>
    <w:rPr>
      <w:color w:val="44546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color w:val="404040"/>
      <w:sz w:val="21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Calibri" w:eastAsia="Calibri" w:hAnsi="Calibri" w:cs="Calibri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color w:val="595959"/>
      <w:sz w:val="18"/>
    </w:rPr>
  </w:style>
  <w:style w:type="paragraph" w:customStyle="1" w:styleId="ImageCaption">
    <w:name w:val="Image Caption"/>
    <w:basedOn w:val="Caption"/>
    <w:rPr>
      <w:color w:val="595959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1F1F1F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sz w:val="36"/>
    </w:rPr>
  </w:style>
  <w:style w:type="paragraph" w:customStyle="1" w:styleId="SourceCode">
    <w:name w:val="Source Code"/>
    <w:basedOn w:val="Normal"/>
    <w:link w:val="VerbatimChar"/>
    <w:pPr>
      <w:wordWrap w:val="0"/>
      <w:spacing w:before="120" w:after="200" w:line="240" w:lineRule="auto"/>
    </w:pPr>
    <w:rPr>
      <w:rFonts w:ascii="Consolas" w:eastAsia="Consolas" w:hAnsi="Consolas" w:cs="Consolas"/>
      <w:color w:val="1F1F1F"/>
      <w:sz w:val="19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1F1F1F"/>
      <w:sz w:val="19"/>
    </w:rPr>
  </w:style>
  <w:style w:type="paragraph" w:styleId="TOC1">
    <w:name w:val="toc 1"/>
    <w:basedOn w:val="Normal"/>
    <w:next w:val="Normal"/>
    <w:autoRedefine/>
    <w:uiPriority w:val="39"/>
    <w:rsid w:val="00616A5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16A5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616A5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1109</Words>
  <Characters>6327</Characters>
  <Application>Microsoft Office Word</Application>
  <DocSecurity>0</DocSecurity>
  <Lines>52</Lines>
  <Paragraphs>14</Paragraphs>
  <ScaleCrop>false</ScaleCrop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2026-08-13T17:23:00Z</dcterms:created>
  <dcterms:modified xsi:type="dcterms:W3CDTF">2026-08-13T17:23:00Z</dcterms:modified>
</cp:coreProperties>
</file>