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Calibri" w:hAnsi="Calibri" w:cs="Calibri"/>
          <w:color w:val="000000"/>
          <w:sz w:val="22"/>
          <w:szCs w:val="24"/>
        </w:rPr>
        <w:id w:val="-1324198049"/>
        <w:docPartObj>
          <w:docPartGallery w:val="Table of Contents"/>
          <w:docPartUnique/>
        </w:docPartObj>
      </w:sdtPr>
      <w:sdtEndPr/>
      <w:sdtContent>
        <w:p w14:paraId="3D09DF9C" w14:textId="77777777" w:rsidR="00F04A94" w:rsidRDefault="00DF6B0B">
          <w:pPr>
            <w:pStyle w:val="TOCHeading"/>
          </w:pPr>
          <w:r>
            <w:t>Table of Contents</w:t>
          </w:r>
        </w:p>
        <w:p w14:paraId="279F6A38" w14:textId="24F93972" w:rsidR="00585E7A" w:rsidRDefault="00DF6B0B">
          <w:pPr>
            <w:pStyle w:val="TOC1"/>
            <w:tabs>
              <w:tab w:val="right" w:leader="dot" w:pos="9350"/>
            </w:tabs>
            <w:rPr>
              <w:rFonts w:asciiTheme="minorHAnsi" w:eastAsiaTheme="minorEastAsia" w:hAnsiTheme="minorHAnsi" w:cstheme="minorBidi"/>
              <w:noProof/>
              <w:color w:val="auto"/>
              <w:kern w:val="2"/>
              <w:sz w:val="24"/>
              <w:lang w:eastAsia="en-US"/>
              <w14:ligatures w14:val="standardContextual"/>
            </w:rPr>
          </w:pPr>
          <w:r>
            <w:fldChar w:fldCharType="begin"/>
          </w:r>
          <w:r>
            <w:instrText>TOC \o "1-3" \h \z \u</w:instrText>
          </w:r>
          <w:r>
            <w:fldChar w:fldCharType="separate"/>
          </w:r>
          <w:hyperlink w:anchor="_Toc237519983" w:history="1">
            <w:r w:rsidR="00585E7A" w:rsidRPr="00CE758F">
              <w:rPr>
                <w:rStyle w:val="Hyperlink"/>
                <w:noProof/>
              </w:rPr>
              <w:t>Change Register — Datastore Capacity Reporting</w:t>
            </w:r>
            <w:r w:rsidR="00585E7A">
              <w:rPr>
                <w:noProof/>
                <w:webHidden/>
              </w:rPr>
              <w:tab/>
            </w:r>
            <w:r w:rsidR="00585E7A">
              <w:rPr>
                <w:noProof/>
                <w:webHidden/>
              </w:rPr>
              <w:fldChar w:fldCharType="begin"/>
            </w:r>
            <w:r w:rsidR="00585E7A">
              <w:rPr>
                <w:noProof/>
                <w:webHidden/>
              </w:rPr>
              <w:instrText xml:space="preserve"> PAGEREF _Toc237519983 \h </w:instrText>
            </w:r>
            <w:r w:rsidR="00585E7A">
              <w:rPr>
                <w:noProof/>
                <w:webHidden/>
              </w:rPr>
            </w:r>
            <w:r w:rsidR="00585E7A">
              <w:rPr>
                <w:noProof/>
                <w:webHidden/>
              </w:rPr>
              <w:fldChar w:fldCharType="separate"/>
            </w:r>
            <w:r w:rsidR="00585E7A">
              <w:rPr>
                <w:noProof/>
                <w:webHidden/>
              </w:rPr>
              <w:t>1</w:t>
            </w:r>
            <w:r w:rsidR="00585E7A">
              <w:rPr>
                <w:noProof/>
                <w:webHidden/>
              </w:rPr>
              <w:fldChar w:fldCharType="end"/>
            </w:r>
          </w:hyperlink>
        </w:p>
        <w:p w14:paraId="29BA9D91" w14:textId="70229219" w:rsidR="00585E7A" w:rsidRDefault="00585E7A">
          <w:pPr>
            <w:pStyle w:val="TOC2"/>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84" w:history="1">
            <w:r w:rsidRPr="00CE758F">
              <w:rPr>
                <w:rStyle w:val="Hyperlink"/>
                <w:noProof/>
              </w:rPr>
              <w:t>1. Current state — how the customer does it today</w:t>
            </w:r>
            <w:r>
              <w:rPr>
                <w:noProof/>
                <w:webHidden/>
              </w:rPr>
              <w:tab/>
            </w:r>
            <w:r>
              <w:rPr>
                <w:noProof/>
                <w:webHidden/>
              </w:rPr>
              <w:fldChar w:fldCharType="begin"/>
            </w:r>
            <w:r>
              <w:rPr>
                <w:noProof/>
                <w:webHidden/>
              </w:rPr>
              <w:instrText xml:space="preserve"> PAGEREF _Toc237519984 \h </w:instrText>
            </w:r>
            <w:r>
              <w:rPr>
                <w:noProof/>
                <w:webHidden/>
              </w:rPr>
            </w:r>
            <w:r>
              <w:rPr>
                <w:noProof/>
                <w:webHidden/>
              </w:rPr>
              <w:fldChar w:fldCharType="separate"/>
            </w:r>
            <w:r>
              <w:rPr>
                <w:noProof/>
                <w:webHidden/>
              </w:rPr>
              <w:t>2</w:t>
            </w:r>
            <w:r>
              <w:rPr>
                <w:noProof/>
                <w:webHidden/>
              </w:rPr>
              <w:fldChar w:fldCharType="end"/>
            </w:r>
          </w:hyperlink>
        </w:p>
        <w:p w14:paraId="773B987E" w14:textId="6ABDCF8A" w:rsidR="00585E7A" w:rsidRDefault="00585E7A">
          <w:pPr>
            <w:pStyle w:val="TOC3"/>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85" w:history="1">
            <w:r w:rsidRPr="00CE758F">
              <w:rPr>
                <w:rStyle w:val="Hyperlink"/>
                <w:noProof/>
              </w:rPr>
              <w:t>1A. Pre-existing defects — and which generation still carries them</w:t>
            </w:r>
            <w:r>
              <w:rPr>
                <w:noProof/>
                <w:webHidden/>
              </w:rPr>
              <w:tab/>
            </w:r>
            <w:r>
              <w:rPr>
                <w:noProof/>
                <w:webHidden/>
              </w:rPr>
              <w:fldChar w:fldCharType="begin"/>
            </w:r>
            <w:r>
              <w:rPr>
                <w:noProof/>
                <w:webHidden/>
              </w:rPr>
              <w:instrText xml:space="preserve"> PAGEREF _Toc237519985 \h </w:instrText>
            </w:r>
            <w:r>
              <w:rPr>
                <w:noProof/>
                <w:webHidden/>
              </w:rPr>
            </w:r>
            <w:r>
              <w:rPr>
                <w:noProof/>
                <w:webHidden/>
              </w:rPr>
              <w:fldChar w:fldCharType="separate"/>
            </w:r>
            <w:r>
              <w:rPr>
                <w:noProof/>
                <w:webHidden/>
              </w:rPr>
              <w:t>3</w:t>
            </w:r>
            <w:r>
              <w:rPr>
                <w:noProof/>
                <w:webHidden/>
              </w:rPr>
              <w:fldChar w:fldCharType="end"/>
            </w:r>
          </w:hyperlink>
        </w:p>
        <w:p w14:paraId="44560B4A" w14:textId="58496ECF" w:rsidR="00585E7A" w:rsidRDefault="00585E7A">
          <w:pPr>
            <w:pStyle w:val="TOC3"/>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86" w:history="1">
            <w:r w:rsidRPr="00CE758F">
              <w:rPr>
                <w:rStyle w:val="Hyperlink"/>
                <w:noProof/>
              </w:rPr>
              <w:t>1D. Generation matrix — what is already fixed</w:t>
            </w:r>
            <w:r>
              <w:rPr>
                <w:noProof/>
                <w:webHidden/>
              </w:rPr>
              <w:tab/>
            </w:r>
            <w:r>
              <w:rPr>
                <w:noProof/>
                <w:webHidden/>
              </w:rPr>
              <w:fldChar w:fldCharType="begin"/>
            </w:r>
            <w:r>
              <w:rPr>
                <w:noProof/>
                <w:webHidden/>
              </w:rPr>
              <w:instrText xml:space="preserve"> PAGEREF _Toc237519986 \h </w:instrText>
            </w:r>
            <w:r>
              <w:rPr>
                <w:noProof/>
                <w:webHidden/>
              </w:rPr>
            </w:r>
            <w:r>
              <w:rPr>
                <w:noProof/>
                <w:webHidden/>
              </w:rPr>
              <w:fldChar w:fldCharType="separate"/>
            </w:r>
            <w:r>
              <w:rPr>
                <w:noProof/>
                <w:webHidden/>
              </w:rPr>
              <w:t>4</w:t>
            </w:r>
            <w:r>
              <w:rPr>
                <w:noProof/>
                <w:webHidden/>
              </w:rPr>
              <w:fldChar w:fldCharType="end"/>
            </w:r>
          </w:hyperlink>
        </w:p>
        <w:p w14:paraId="33FBF6EA" w14:textId="19515726" w:rsidR="00585E7A" w:rsidRDefault="00585E7A">
          <w:pPr>
            <w:pStyle w:val="TOC3"/>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87" w:history="1">
            <w:r w:rsidRPr="00CE758F">
              <w:rPr>
                <w:rStyle w:val="Hyperlink"/>
                <w:noProof/>
              </w:rPr>
              <w:t>1B. Two configuration observations for the customer</w:t>
            </w:r>
            <w:r>
              <w:rPr>
                <w:noProof/>
                <w:webHidden/>
              </w:rPr>
              <w:tab/>
            </w:r>
            <w:r>
              <w:rPr>
                <w:noProof/>
                <w:webHidden/>
              </w:rPr>
              <w:fldChar w:fldCharType="begin"/>
            </w:r>
            <w:r>
              <w:rPr>
                <w:noProof/>
                <w:webHidden/>
              </w:rPr>
              <w:instrText xml:space="preserve"> PAGEREF _Toc237519987 \h </w:instrText>
            </w:r>
            <w:r>
              <w:rPr>
                <w:noProof/>
                <w:webHidden/>
              </w:rPr>
            </w:r>
            <w:r>
              <w:rPr>
                <w:noProof/>
                <w:webHidden/>
              </w:rPr>
              <w:fldChar w:fldCharType="separate"/>
            </w:r>
            <w:r>
              <w:rPr>
                <w:noProof/>
                <w:webHidden/>
              </w:rPr>
              <w:t>5</w:t>
            </w:r>
            <w:r>
              <w:rPr>
                <w:noProof/>
                <w:webHidden/>
              </w:rPr>
              <w:fldChar w:fldCharType="end"/>
            </w:r>
          </w:hyperlink>
        </w:p>
        <w:p w14:paraId="643C5176" w14:textId="0554FF61" w:rsidR="00585E7A" w:rsidRDefault="00585E7A">
          <w:pPr>
            <w:pStyle w:val="TOC3"/>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88" w:history="1">
            <w:r w:rsidRPr="00CE758F">
              <w:rPr>
                <w:rStyle w:val="Hyperlink"/>
                <w:noProof/>
              </w:rPr>
              <w:t>1C. No shared PowerShell host, no shared script</w:t>
            </w:r>
            <w:r>
              <w:rPr>
                <w:noProof/>
                <w:webHidden/>
              </w:rPr>
              <w:tab/>
            </w:r>
            <w:r>
              <w:rPr>
                <w:noProof/>
                <w:webHidden/>
              </w:rPr>
              <w:fldChar w:fldCharType="begin"/>
            </w:r>
            <w:r>
              <w:rPr>
                <w:noProof/>
                <w:webHidden/>
              </w:rPr>
              <w:instrText xml:space="preserve"> PAGEREF _Toc237519988 \h </w:instrText>
            </w:r>
            <w:r>
              <w:rPr>
                <w:noProof/>
                <w:webHidden/>
              </w:rPr>
            </w:r>
            <w:r>
              <w:rPr>
                <w:noProof/>
                <w:webHidden/>
              </w:rPr>
              <w:fldChar w:fldCharType="separate"/>
            </w:r>
            <w:r>
              <w:rPr>
                <w:noProof/>
                <w:webHidden/>
              </w:rPr>
              <w:t>5</w:t>
            </w:r>
            <w:r>
              <w:rPr>
                <w:noProof/>
                <w:webHidden/>
              </w:rPr>
              <w:fldChar w:fldCharType="end"/>
            </w:r>
          </w:hyperlink>
        </w:p>
        <w:p w14:paraId="790E0FA1" w14:textId="31FF699E" w:rsidR="00585E7A" w:rsidRDefault="00585E7A">
          <w:pPr>
            <w:pStyle w:val="TOC2"/>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89" w:history="1">
            <w:r w:rsidRPr="00CE758F">
              <w:rPr>
                <w:rStyle w:val="Hyperlink"/>
                <w:noProof/>
              </w:rPr>
              <w:t>2. Target state — how it works after the transition</w:t>
            </w:r>
            <w:r>
              <w:rPr>
                <w:noProof/>
                <w:webHidden/>
              </w:rPr>
              <w:tab/>
            </w:r>
            <w:r>
              <w:rPr>
                <w:noProof/>
                <w:webHidden/>
              </w:rPr>
              <w:fldChar w:fldCharType="begin"/>
            </w:r>
            <w:r>
              <w:rPr>
                <w:noProof/>
                <w:webHidden/>
              </w:rPr>
              <w:instrText xml:space="preserve"> PAGEREF _Toc237519989 \h </w:instrText>
            </w:r>
            <w:r>
              <w:rPr>
                <w:noProof/>
                <w:webHidden/>
              </w:rPr>
            </w:r>
            <w:r>
              <w:rPr>
                <w:noProof/>
                <w:webHidden/>
              </w:rPr>
              <w:fldChar w:fldCharType="separate"/>
            </w:r>
            <w:r>
              <w:rPr>
                <w:noProof/>
                <w:webHidden/>
              </w:rPr>
              <w:t>6</w:t>
            </w:r>
            <w:r>
              <w:rPr>
                <w:noProof/>
                <w:webHidden/>
              </w:rPr>
              <w:fldChar w:fldCharType="end"/>
            </w:r>
          </w:hyperlink>
        </w:p>
        <w:p w14:paraId="2B7A85AE" w14:textId="09379715" w:rsidR="00585E7A" w:rsidRDefault="00585E7A">
          <w:pPr>
            <w:pStyle w:val="TOC2"/>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90" w:history="1">
            <w:r w:rsidRPr="00CE758F">
              <w:rPr>
                <w:rStyle w:val="Hyperlink"/>
                <w:noProof/>
              </w:rPr>
              <w:t>3. Process changes (P-series)</w:t>
            </w:r>
            <w:r>
              <w:rPr>
                <w:noProof/>
                <w:webHidden/>
              </w:rPr>
              <w:tab/>
            </w:r>
            <w:r>
              <w:rPr>
                <w:noProof/>
                <w:webHidden/>
              </w:rPr>
              <w:fldChar w:fldCharType="begin"/>
            </w:r>
            <w:r>
              <w:rPr>
                <w:noProof/>
                <w:webHidden/>
              </w:rPr>
              <w:instrText xml:space="preserve"> PAGEREF _Toc237519990 \h </w:instrText>
            </w:r>
            <w:r>
              <w:rPr>
                <w:noProof/>
                <w:webHidden/>
              </w:rPr>
            </w:r>
            <w:r>
              <w:rPr>
                <w:noProof/>
                <w:webHidden/>
              </w:rPr>
              <w:fldChar w:fldCharType="separate"/>
            </w:r>
            <w:r>
              <w:rPr>
                <w:noProof/>
                <w:webHidden/>
              </w:rPr>
              <w:t>6</w:t>
            </w:r>
            <w:r>
              <w:rPr>
                <w:noProof/>
                <w:webHidden/>
              </w:rPr>
              <w:fldChar w:fldCharType="end"/>
            </w:r>
          </w:hyperlink>
        </w:p>
        <w:p w14:paraId="16673729" w14:textId="39BC0665" w:rsidR="00585E7A" w:rsidRDefault="00585E7A">
          <w:pPr>
            <w:pStyle w:val="TOC2"/>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91" w:history="1">
            <w:r w:rsidRPr="00CE758F">
              <w:rPr>
                <w:rStyle w:val="Hyperlink"/>
                <w:noProof/>
              </w:rPr>
              <w:t xml:space="preserve">4. What deliberately does </w:t>
            </w:r>
            <w:r w:rsidRPr="00CE758F">
              <w:rPr>
                <w:rStyle w:val="Hyperlink"/>
                <w:b/>
                <w:bCs/>
                <w:noProof/>
              </w:rPr>
              <w:t>not</w:t>
            </w:r>
            <w:r w:rsidRPr="00CE758F">
              <w:rPr>
                <w:rStyle w:val="Hyperlink"/>
                <w:noProof/>
              </w:rPr>
              <w:t xml:space="preserve"> change</w:t>
            </w:r>
            <w:r>
              <w:rPr>
                <w:noProof/>
                <w:webHidden/>
              </w:rPr>
              <w:tab/>
            </w:r>
            <w:r>
              <w:rPr>
                <w:noProof/>
                <w:webHidden/>
              </w:rPr>
              <w:fldChar w:fldCharType="begin"/>
            </w:r>
            <w:r>
              <w:rPr>
                <w:noProof/>
                <w:webHidden/>
              </w:rPr>
              <w:instrText xml:space="preserve"> PAGEREF _Toc237519991 \h </w:instrText>
            </w:r>
            <w:r>
              <w:rPr>
                <w:noProof/>
                <w:webHidden/>
              </w:rPr>
            </w:r>
            <w:r>
              <w:rPr>
                <w:noProof/>
                <w:webHidden/>
              </w:rPr>
              <w:fldChar w:fldCharType="separate"/>
            </w:r>
            <w:r>
              <w:rPr>
                <w:noProof/>
                <w:webHidden/>
              </w:rPr>
              <w:t>9</w:t>
            </w:r>
            <w:r>
              <w:rPr>
                <w:noProof/>
                <w:webHidden/>
              </w:rPr>
              <w:fldChar w:fldCharType="end"/>
            </w:r>
          </w:hyperlink>
        </w:p>
        <w:p w14:paraId="10BBD64C" w14:textId="3B29F06C" w:rsidR="00585E7A" w:rsidRDefault="00585E7A">
          <w:pPr>
            <w:pStyle w:val="TOC2"/>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92" w:history="1">
            <w:r w:rsidRPr="00CE758F">
              <w:rPr>
                <w:rStyle w:val="Hyperlink"/>
                <w:noProof/>
              </w:rPr>
              <w:t>5. Open items and watch items</w:t>
            </w:r>
            <w:r>
              <w:rPr>
                <w:noProof/>
                <w:webHidden/>
              </w:rPr>
              <w:tab/>
            </w:r>
            <w:r>
              <w:rPr>
                <w:noProof/>
                <w:webHidden/>
              </w:rPr>
              <w:fldChar w:fldCharType="begin"/>
            </w:r>
            <w:r>
              <w:rPr>
                <w:noProof/>
                <w:webHidden/>
              </w:rPr>
              <w:instrText xml:space="preserve"> PAGEREF _Toc237519992 \h </w:instrText>
            </w:r>
            <w:r>
              <w:rPr>
                <w:noProof/>
                <w:webHidden/>
              </w:rPr>
            </w:r>
            <w:r>
              <w:rPr>
                <w:noProof/>
                <w:webHidden/>
              </w:rPr>
              <w:fldChar w:fldCharType="separate"/>
            </w:r>
            <w:r>
              <w:rPr>
                <w:noProof/>
                <w:webHidden/>
              </w:rPr>
              <w:t>9</w:t>
            </w:r>
            <w:r>
              <w:rPr>
                <w:noProof/>
                <w:webHidden/>
              </w:rPr>
              <w:fldChar w:fldCharType="end"/>
            </w:r>
          </w:hyperlink>
        </w:p>
        <w:p w14:paraId="1118D025" w14:textId="3EC7574C" w:rsidR="00585E7A" w:rsidRDefault="00585E7A">
          <w:pPr>
            <w:pStyle w:val="TOC2"/>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93" w:history="1">
            <w:r w:rsidRPr="00CE758F">
              <w:rPr>
                <w:rStyle w:val="Hyperlink"/>
                <w:noProof/>
              </w:rPr>
              <w:t>6. Parallel run — how to compare the two reports</w:t>
            </w:r>
            <w:r>
              <w:rPr>
                <w:noProof/>
                <w:webHidden/>
              </w:rPr>
              <w:tab/>
            </w:r>
            <w:r>
              <w:rPr>
                <w:noProof/>
                <w:webHidden/>
              </w:rPr>
              <w:fldChar w:fldCharType="begin"/>
            </w:r>
            <w:r>
              <w:rPr>
                <w:noProof/>
                <w:webHidden/>
              </w:rPr>
              <w:instrText xml:space="preserve"> PAGEREF _Toc237519993 \h </w:instrText>
            </w:r>
            <w:r>
              <w:rPr>
                <w:noProof/>
                <w:webHidden/>
              </w:rPr>
            </w:r>
            <w:r>
              <w:rPr>
                <w:noProof/>
                <w:webHidden/>
              </w:rPr>
              <w:fldChar w:fldCharType="separate"/>
            </w:r>
            <w:r>
              <w:rPr>
                <w:noProof/>
                <w:webHidden/>
              </w:rPr>
              <w:t>10</w:t>
            </w:r>
            <w:r>
              <w:rPr>
                <w:noProof/>
                <w:webHidden/>
              </w:rPr>
              <w:fldChar w:fldCharType="end"/>
            </w:r>
          </w:hyperlink>
        </w:p>
        <w:p w14:paraId="7FF5C732" w14:textId="6B5F3DF2" w:rsidR="00585E7A" w:rsidRDefault="00585E7A">
          <w:pPr>
            <w:pStyle w:val="TOC2"/>
            <w:tabs>
              <w:tab w:val="right" w:leader="dot" w:pos="9350"/>
            </w:tabs>
            <w:rPr>
              <w:rFonts w:asciiTheme="minorHAnsi" w:eastAsiaTheme="minorEastAsia" w:hAnsiTheme="minorHAnsi" w:cstheme="minorBidi"/>
              <w:noProof/>
              <w:color w:val="auto"/>
              <w:kern w:val="2"/>
              <w:sz w:val="24"/>
              <w:lang w:eastAsia="en-US"/>
              <w14:ligatures w14:val="standardContextual"/>
            </w:rPr>
          </w:pPr>
          <w:hyperlink w:anchor="_Toc237519994" w:history="1">
            <w:r w:rsidRPr="00CE758F">
              <w:rPr>
                <w:rStyle w:val="Hyperlink"/>
                <w:noProof/>
              </w:rPr>
              <w:t>Revision history</w:t>
            </w:r>
            <w:r>
              <w:rPr>
                <w:noProof/>
                <w:webHidden/>
              </w:rPr>
              <w:tab/>
            </w:r>
            <w:r>
              <w:rPr>
                <w:noProof/>
                <w:webHidden/>
              </w:rPr>
              <w:fldChar w:fldCharType="begin"/>
            </w:r>
            <w:r>
              <w:rPr>
                <w:noProof/>
                <w:webHidden/>
              </w:rPr>
              <w:instrText xml:space="preserve"> PAGEREF _Toc237519994 \h </w:instrText>
            </w:r>
            <w:r>
              <w:rPr>
                <w:noProof/>
                <w:webHidden/>
              </w:rPr>
            </w:r>
            <w:r>
              <w:rPr>
                <w:noProof/>
                <w:webHidden/>
              </w:rPr>
              <w:fldChar w:fldCharType="separate"/>
            </w:r>
            <w:r>
              <w:rPr>
                <w:noProof/>
                <w:webHidden/>
              </w:rPr>
              <w:t>11</w:t>
            </w:r>
            <w:r>
              <w:rPr>
                <w:noProof/>
                <w:webHidden/>
              </w:rPr>
              <w:fldChar w:fldCharType="end"/>
            </w:r>
          </w:hyperlink>
        </w:p>
        <w:p w14:paraId="70353731" w14:textId="12E7CC5E" w:rsidR="00F04A94" w:rsidRDefault="00DF6B0B">
          <w:r>
            <w:fldChar w:fldCharType="end"/>
          </w:r>
        </w:p>
      </w:sdtContent>
    </w:sdt>
    <w:p w14:paraId="44934045" w14:textId="77777777" w:rsidR="00F04A94" w:rsidRDefault="00DF6B0B">
      <w:pPr>
        <w:pStyle w:val="Heading1"/>
      </w:pPr>
      <w:bookmarkStart w:id="0" w:name="X487052c337f6624cd7b21d1e5b6b6dfa6cfd604"/>
      <w:bookmarkStart w:id="1" w:name="_Toc237519983"/>
      <w:r>
        <w:t>Change Register — Datastore Capacity Reporting</w:t>
      </w:r>
      <w:bookmarkEnd w:id="1"/>
    </w:p>
    <w:p w14:paraId="60157F71" w14:textId="77777777" w:rsidR="00F04A94" w:rsidRDefault="00DF6B0B">
      <w:pPr>
        <w:pStyle w:val="FirstParagraph"/>
      </w:pPr>
      <w:r>
        <w:rPr>
          <w:b/>
          <w:bCs/>
        </w:rPr>
        <w:t>Project:</w:t>
      </w:r>
      <w:r>
        <w:t xml:space="preserve"> Ansible → VCF Orchestrator transition — "Get Datastores Greater than 75 Percent Used" </w:t>
      </w:r>
      <w:r>
        <w:rPr>
          <w:b/>
          <w:bCs/>
        </w:rPr>
        <w:t>Platform:</w:t>
      </w:r>
      <w:r>
        <w:t xml:space="preserve"> VCF Automation 9 / VCF Operations Orchestrator 9 </w:t>
      </w:r>
      <w:r>
        <w:rPr>
          <w:b/>
          <w:bCs/>
        </w:rPr>
        <w:t>Purpose of this document:</w:t>
      </w:r>
      <w:r>
        <w:t xml:space="preserve"> A single, customer-facing record of </w:t>
      </w:r>
      <w:r>
        <w:rPr>
          <w:i/>
          <w:iCs/>
        </w:rPr>
        <w:t>how the datastore capacity report works today</w:t>
      </w:r>
      <w:r>
        <w:t xml:space="preserve"> and </w:t>
      </w:r>
      <w:r>
        <w:rPr>
          <w:i/>
          <w:iCs/>
        </w:rPr>
        <w:t>every change</w:t>
      </w:r>
      <w:r>
        <w:t xml:space="preserve"> made to it during the Orchestrator transition — what changed, and </w:t>
      </w:r>
      <w:r>
        <w:rPr>
          <w:b/>
          <w:bCs/>
        </w:rPr>
        <w:t>why</w:t>
      </w:r>
      <w:r>
        <w:t>.</w:t>
      </w:r>
    </w:p>
    <w:p w14:paraId="33C6ECDD" w14:textId="77777777" w:rsidR="00F04A94" w:rsidRDefault="00DF6B0B">
      <w:pPr>
        <w:pStyle w:val="BlockText"/>
      </w:pPr>
      <w:r>
        <w:rPr>
          <w:b/>
          <w:bCs/>
        </w:rPr>
        <w:t xml:space="preserve">Continues the shared </w:t>
      </w:r>
      <w:r>
        <w:rPr>
          <w:rStyle w:val="VerbatimChar"/>
          <w:b/>
          <w:bCs/>
        </w:rPr>
        <w:t>S-</w:t>
      </w:r>
      <w:r>
        <w:rPr>
          <w:b/>
          <w:bCs/>
        </w:rPr>
        <w:t xml:space="preserve"> / </w:t>
      </w:r>
      <w:r>
        <w:rPr>
          <w:rStyle w:val="VerbatimChar"/>
          <w:b/>
          <w:bCs/>
        </w:rPr>
        <w:t>P-</w:t>
      </w:r>
      <w:r>
        <w:rPr>
          <w:b/>
          <w:bCs/>
        </w:rPr>
        <w:t xml:space="preserve"> numbering.</w:t>
      </w:r>
      <w:r>
        <w:t xml:space="preserve"> Changes </w:t>
      </w:r>
      <w:r>
        <w:rPr>
          <w:b/>
          <w:bCs/>
        </w:rPr>
        <w:t>S-1 … S-5</w:t>
      </w:r>
      <w:r>
        <w:t xml:space="preserve"> / </w:t>
      </w:r>
      <w:r>
        <w:rPr>
          <w:b/>
          <w:bCs/>
        </w:rPr>
        <w:t>P-1 … P-8</w:t>
      </w:r>
      <w:r>
        <w:t xml:space="preserve"> were made by </w:t>
      </w:r>
      <w:r>
        <w:rPr>
          <w:b/>
          <w:bCs/>
        </w:rPr>
        <w:t>Move Windows Event Logs</w:t>
      </w:r>
      <w:r>
        <w:t xml:space="preserve">, </w:t>
      </w:r>
      <w:r>
        <w:rPr>
          <w:b/>
          <w:bCs/>
        </w:rPr>
        <w:t>S-6 … S-13</w:t>
      </w:r>
      <w:r>
        <w:t xml:space="preserve"> / </w:t>
      </w:r>
      <w:r>
        <w:rPr>
          <w:b/>
          <w:bCs/>
        </w:rPr>
        <w:t>P-9 … P-13</w:t>
      </w:r>
      <w:r>
        <w:t xml:space="preserve"> by </w:t>
      </w:r>
      <w:r>
        <w:rPr>
          <w:b/>
          <w:bCs/>
        </w:rPr>
        <w:t>Server Reboots</w:t>
      </w:r>
      <w:r>
        <w:t xml:space="preserve">, </w:t>
      </w:r>
      <w:r>
        <w:rPr>
          <w:b/>
          <w:bCs/>
        </w:rPr>
        <w:t>S-14 … S-15</w:t>
      </w:r>
      <w:r>
        <w:t xml:space="preserve"> / </w:t>
      </w:r>
      <w:r>
        <w:rPr>
          <w:b/>
          <w:bCs/>
        </w:rPr>
        <w:t>P-14 … P-19</w:t>
      </w:r>
      <w:r>
        <w:t xml:space="preserve"> by </w:t>
      </w:r>
      <w:r>
        <w:rPr>
          <w:b/>
          <w:bCs/>
        </w:rPr>
        <w:t>Windows Server Clean Disks</w:t>
      </w:r>
      <w:r>
        <w:t xml:space="preserve">, </w:t>
      </w:r>
      <w:r>
        <w:rPr>
          <w:b/>
          <w:bCs/>
        </w:rPr>
        <w:t>S-16 … S-21</w:t>
      </w:r>
      <w:r>
        <w:t xml:space="preserve"> / </w:t>
      </w:r>
      <w:r>
        <w:rPr>
          <w:b/>
          <w:bCs/>
        </w:rPr>
        <w:t>P-20 … P-26</w:t>
      </w:r>
      <w:r>
        <w:t xml:space="preserve"> by the </w:t>
      </w:r>
      <w:r>
        <w:rPr>
          <w:b/>
          <w:bCs/>
        </w:rPr>
        <w:t>Admin Accounts Report</w:t>
      </w:r>
      <w:r>
        <w:t xml:space="preserve">, and </w:t>
      </w:r>
      <w:r>
        <w:rPr>
          <w:b/>
          <w:bCs/>
        </w:rPr>
        <w:t>S-22 … S-24</w:t>
      </w:r>
      <w:r>
        <w:t xml:space="preserve"> / </w:t>
      </w:r>
      <w:r>
        <w:rPr>
          <w:b/>
          <w:bCs/>
        </w:rPr>
        <w:t>P-27 … P-32</w:t>
      </w:r>
      <w:r>
        <w:t xml:space="preserve"> by </w:t>
      </w:r>
      <w:r>
        <w:rPr>
          <w:b/>
          <w:bCs/>
        </w:rPr>
        <w:t>Service Account Expiration Reporting</w:t>
      </w:r>
      <w:r>
        <w:t xml:space="preserve">. This deliverable adds process changes </w:t>
      </w:r>
      <w:r>
        <w:rPr>
          <w:b/>
          <w:bCs/>
        </w:rPr>
        <w:t>P-33 … P-43</w:t>
      </w:r>
      <w:r>
        <w:t>.</w:t>
      </w:r>
    </w:p>
    <w:p w14:paraId="7179B9D1" w14:textId="77777777" w:rsidR="00F04A94" w:rsidRDefault="00DF6B0B">
      <w:pPr>
        <w:pStyle w:val="BlockText"/>
      </w:pPr>
      <w:r>
        <w:rPr>
          <w:b/>
          <w:bCs/>
        </w:rPr>
        <w:t xml:space="preserve">NO </w:t>
      </w:r>
      <w:r>
        <w:rPr>
          <w:rStyle w:val="VerbatimChar"/>
          <w:b/>
          <w:bCs/>
        </w:rPr>
        <w:t>S-</w:t>
      </w:r>
      <w:r>
        <w:rPr>
          <w:b/>
          <w:bCs/>
        </w:rPr>
        <w:t xml:space="preserve"> CHANGES. </w:t>
      </w:r>
      <w:r>
        <w:rPr>
          <w:rStyle w:val="VerbatimChar"/>
          <w:b/>
          <w:bCs/>
        </w:rPr>
        <w:t>cvs_functions.ps1</w:t>
      </w:r>
      <w:r>
        <w:rPr>
          <w:b/>
          <w:bCs/>
        </w:rPr>
        <w:t xml:space="preserve"> IS NOT TOUCHED BY THIS DELIVERABLE.</w:t>
      </w:r>
      <w:r>
        <w:t xml:space="preserve"> This is the second project in the programme — after Snapshot Cleanup — to be delivered </w:t>
      </w:r>
      <w:r>
        <w:rPr>
          <w:b/>
          <w:bCs/>
        </w:rPr>
        <w:t>vCenter-native</w:t>
      </w:r>
      <w:r>
        <w:t xml:space="preserve">, with no PowerShell host in the execution path at all. There is therefore no shared-script edit to promote, no re-test exposure for the already-delivered Active Directory packages, and no sequencing dependency on the </w:t>
      </w:r>
      <w:r>
        <w:rPr>
          <w:rStyle w:val="VerbatimChar"/>
        </w:rPr>
        <w:t>cvs_functions.ps1</w:t>
      </w:r>
      <w:r>
        <w:t xml:space="preserve"> promotion.</w:t>
      </w:r>
    </w:p>
    <w:p w14:paraId="65DA7777" w14:textId="77777777" w:rsidR="00F04A94" w:rsidRDefault="00DF6B0B">
      <w:pPr>
        <w:pStyle w:val="BlockText"/>
      </w:pPr>
      <w:r>
        <w:rPr>
          <w:b/>
          <w:bCs/>
        </w:rPr>
        <w:t>Current-state baseline — TWO GENERATIONS EXIST. See §1D before reading §1A.</w:t>
      </w:r>
    </w:p>
    <w:tbl>
      <w:tblPr>
        <w:tblStyle w:val="Table"/>
        <w:tblW w:w="0" w:type="auto"/>
        <w:tblLook w:val="0020" w:firstRow="1" w:lastRow="0" w:firstColumn="0" w:lastColumn="0" w:noHBand="0" w:noVBand="0"/>
      </w:tblPr>
      <w:tblGrid>
        <w:gridCol w:w="1126"/>
        <w:gridCol w:w="3788"/>
        <w:gridCol w:w="2660"/>
        <w:gridCol w:w="2002"/>
      </w:tblGrid>
      <w:tr w:rsidR="00F04A94" w14:paraId="4F1A59D9"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092609D8" w14:textId="77777777" w:rsidR="00F04A94" w:rsidRDefault="00DF6B0B">
            <w:pPr>
              <w:pStyle w:val="Compact"/>
            </w:pPr>
            <w:r>
              <w:t>Generation</w:t>
            </w:r>
          </w:p>
        </w:tc>
        <w:tc>
          <w:tcPr>
            <w:tcW w:w="0" w:type="auto"/>
          </w:tcPr>
          <w:p w14:paraId="13544F61" w14:textId="77777777" w:rsidR="00F04A94" w:rsidRDefault="00DF6B0B">
            <w:pPr>
              <w:pStyle w:val="Compact"/>
            </w:pPr>
            <w:r>
              <w:t>Playbook</w:t>
            </w:r>
          </w:p>
        </w:tc>
        <w:tc>
          <w:tcPr>
            <w:tcW w:w="0" w:type="auto"/>
          </w:tcPr>
          <w:p w14:paraId="247600A6" w14:textId="77777777" w:rsidR="00F04A94" w:rsidRDefault="00DF6B0B">
            <w:pPr>
              <w:pStyle w:val="Compact"/>
            </w:pPr>
            <w:r>
              <w:t>Script</w:t>
            </w:r>
          </w:p>
        </w:tc>
        <w:tc>
          <w:tcPr>
            <w:tcW w:w="0" w:type="auto"/>
          </w:tcPr>
          <w:p w14:paraId="5E03B3EC" w14:textId="77777777" w:rsidR="00F04A94" w:rsidRDefault="00DF6B0B">
            <w:pPr>
              <w:pStyle w:val="Compact"/>
            </w:pPr>
            <w:r>
              <w:t>Source</w:t>
            </w:r>
          </w:p>
        </w:tc>
      </w:tr>
      <w:tr w:rsidR="00F04A94" w14:paraId="2AECF90A" w14:textId="77777777">
        <w:tc>
          <w:tcPr>
            <w:tcW w:w="0" w:type="auto"/>
          </w:tcPr>
          <w:p w14:paraId="40F5B000" w14:textId="77777777" w:rsidR="00F04A94" w:rsidRDefault="00DF6B0B">
            <w:pPr>
              <w:pStyle w:val="Compact"/>
            </w:pPr>
            <w:r>
              <w:rPr>
                <w:b/>
                <w:bCs/>
              </w:rPr>
              <w:t>Gen 1</w:t>
            </w:r>
            <w:r>
              <w:t xml:space="preserve"> (older)</w:t>
            </w:r>
          </w:p>
        </w:tc>
        <w:tc>
          <w:tcPr>
            <w:tcW w:w="0" w:type="auto"/>
          </w:tcPr>
          <w:p w14:paraId="2C6DC57F" w14:textId="77777777" w:rsidR="00F04A94" w:rsidRDefault="00DF6B0B">
            <w:pPr>
              <w:pStyle w:val="Compact"/>
            </w:pPr>
            <w:r>
              <w:rPr>
                <w:rStyle w:val="VerbatimChar"/>
              </w:rPr>
              <w:t>get_datastores_75_100_used.yml</w:t>
            </w:r>
          </w:p>
        </w:tc>
        <w:tc>
          <w:tcPr>
            <w:tcW w:w="0" w:type="auto"/>
          </w:tcPr>
          <w:p w14:paraId="0A3E5648" w14:textId="77777777" w:rsidR="00F04A94" w:rsidRDefault="00DF6B0B">
            <w:pPr>
              <w:pStyle w:val="Compact"/>
            </w:pPr>
            <w:r>
              <w:rPr>
                <w:rStyle w:val="VerbatimChar"/>
              </w:rPr>
              <w:t>cvs_functions.ps1</w:t>
            </w:r>
            <w:r>
              <w:t xml:space="preserve">, case </w:t>
            </w:r>
            <w:r>
              <w:rPr>
                <w:rStyle w:val="VerbatimChar"/>
              </w:rPr>
              <w:t>get_datastores_75_100_used</w:t>
            </w:r>
            <w:r>
              <w:t xml:space="preserve"> (lines 3067–3142)</w:t>
            </w:r>
          </w:p>
        </w:tc>
        <w:tc>
          <w:tcPr>
            <w:tcW w:w="0" w:type="auto"/>
          </w:tcPr>
          <w:p w14:paraId="1480C407" w14:textId="77777777" w:rsidR="00F04A94" w:rsidRDefault="00DF6B0B">
            <w:pPr>
              <w:pStyle w:val="Compact"/>
            </w:pPr>
            <w:r>
              <w:rPr>
                <w:rStyle w:val="VerbatimChar"/>
              </w:rPr>
              <w:t>InProgress/Get Datastores Greater than 75 Percent Used/</w:t>
            </w:r>
          </w:p>
        </w:tc>
      </w:tr>
      <w:tr w:rsidR="00F04A94" w14:paraId="3119EC3D" w14:textId="77777777">
        <w:tc>
          <w:tcPr>
            <w:tcW w:w="0" w:type="auto"/>
          </w:tcPr>
          <w:p w14:paraId="601ACCD2" w14:textId="77777777" w:rsidR="00F04A94" w:rsidRDefault="00DF6B0B">
            <w:pPr>
              <w:pStyle w:val="Compact"/>
            </w:pPr>
            <w:r>
              <w:rPr>
                <w:b/>
                <w:bCs/>
              </w:rPr>
              <w:t>Gen 2</w:t>
            </w:r>
            <w:r>
              <w:t xml:space="preserve"> (newer)</w:t>
            </w:r>
          </w:p>
        </w:tc>
        <w:tc>
          <w:tcPr>
            <w:tcW w:w="0" w:type="auto"/>
          </w:tcPr>
          <w:p w14:paraId="7F308C78" w14:textId="77777777" w:rsidR="00F04A94" w:rsidRDefault="00DF6B0B">
            <w:pPr>
              <w:pStyle w:val="Compact"/>
            </w:pPr>
            <w:r>
              <w:rPr>
                <w:rStyle w:val="VerbatimChar"/>
              </w:rPr>
              <w:t>get_datastores_75_100_used_(Works).yml</w:t>
            </w:r>
          </w:p>
        </w:tc>
        <w:tc>
          <w:tcPr>
            <w:tcW w:w="0" w:type="auto"/>
          </w:tcPr>
          <w:p w14:paraId="0489E549" w14:textId="77777777" w:rsidR="00F04A94" w:rsidRDefault="00DF6B0B">
            <w:pPr>
              <w:pStyle w:val="Compact"/>
            </w:pPr>
            <w:r>
              <w:rPr>
                <w:rStyle w:val="VerbatimChar"/>
              </w:rPr>
              <w:t>cvs_50_100.ps1</w:t>
            </w:r>
            <w:r>
              <w:t xml:space="preserve"> — standalone, does not source </w:t>
            </w:r>
            <w:r>
              <w:rPr>
                <w:rStyle w:val="VerbatimChar"/>
              </w:rPr>
              <w:t>cvs_functions.ps1</w:t>
            </w:r>
          </w:p>
        </w:tc>
        <w:tc>
          <w:tcPr>
            <w:tcW w:w="0" w:type="auto"/>
          </w:tcPr>
          <w:p w14:paraId="392DE794" w14:textId="77777777" w:rsidR="00F04A94" w:rsidRDefault="00DF6B0B">
            <w:pPr>
              <w:pStyle w:val="Compact"/>
            </w:pPr>
            <w:r>
              <w:rPr>
                <w:rStyle w:val="VerbatimChar"/>
              </w:rPr>
              <w:t>GitLab-Repos-Sanitized/psscript/</w:t>
            </w:r>
          </w:p>
        </w:tc>
      </w:tr>
    </w:tbl>
    <w:p w14:paraId="4A88A0F9" w14:textId="77777777" w:rsidR="00F04A94" w:rsidRDefault="00DF6B0B">
      <w:pPr>
        <w:pStyle w:val="BlockText"/>
      </w:pPr>
      <w:r>
        <w:t xml:space="preserve">Gen 2 is confirmed newer. </w:t>
      </w:r>
      <w:r>
        <w:rPr>
          <w:b/>
          <w:bCs/>
        </w:rPr>
        <w:t>Which generation is actually deployed and running on the production schedule is NOT confirmed</w:t>
      </w:r>
      <w:r>
        <w:t xml:space="preserve"> — see open item 9. Both are read-only for this project.</w:t>
      </w:r>
    </w:p>
    <w:p w14:paraId="76944EDD" w14:textId="77777777" w:rsidR="00F04A94" w:rsidRDefault="00DF6B0B">
      <w:r>
        <w:pict w14:anchorId="5B995E7A">
          <v:rect id="_x0000_i1025" style="width:0;height:1.5pt" o:hralign="center" o:hrstd="t" o:hr="t"/>
        </w:pict>
      </w:r>
    </w:p>
    <w:p w14:paraId="32A26F65" w14:textId="77777777" w:rsidR="00F04A94" w:rsidRDefault="00DF6B0B">
      <w:pPr>
        <w:pStyle w:val="Heading2"/>
      </w:pPr>
      <w:bookmarkStart w:id="2" w:name="Xa627b0c95e9ffaf1ec9fffc3a25f971fee4dca2"/>
      <w:bookmarkStart w:id="3" w:name="_Toc237519984"/>
      <w:r>
        <w:t>1. Current state — how the customer does it today</w:t>
      </w:r>
      <w:bookmarkEnd w:id="3"/>
    </w:p>
    <w:p w14:paraId="1C9839F4" w14:textId="77777777" w:rsidR="00F04A94" w:rsidRDefault="00DF6B0B">
      <w:pPr>
        <w:pStyle w:val="FirstParagraph"/>
      </w:pPr>
      <w:r>
        <w:rPr>
          <w:b/>
          <w:bCs/>
        </w:rPr>
        <w:t>Goal of the automation (unchanged):</w:t>
      </w:r>
      <w:r>
        <w:t xml:space="preserve"> </w:t>
      </w:r>
      <w:r>
        <w:t>tell the storage and infrastructure teams which datastores across the estate are close to full, early enough to act, and email that list on a schedule.</w:t>
      </w:r>
    </w:p>
    <w:p w14:paraId="16F40B54" w14:textId="77777777" w:rsidR="00F04A94" w:rsidRDefault="00DF6B0B">
      <w:pPr>
        <w:pStyle w:val="BodyText"/>
      </w:pPr>
      <w:r>
        <w:rPr>
          <w:b/>
          <w:bCs/>
        </w:rPr>
        <w:t>How it runs today (Ansible):</w:t>
      </w:r>
    </w:p>
    <w:p w14:paraId="2B634625" w14:textId="77777777" w:rsidR="00F04A94" w:rsidRDefault="00DF6B0B">
      <w:pPr>
        <w:pStyle w:val="Compact"/>
        <w:numPr>
          <w:ilvl w:val="0"/>
          <w:numId w:val="2"/>
        </w:numPr>
      </w:pPr>
      <w:r>
        <w:rPr>
          <w:rStyle w:val="VerbatimChar"/>
        </w:rPr>
        <w:t>get_datastores_75_100_used.yml</w:t>
      </w:r>
      <w:r>
        <w:t xml:space="preserve"> creates a temp directory on a Windows host over WinRM (5986), </w:t>
      </w:r>
      <w:r>
        <w:rPr>
          <w:rStyle w:val="VerbatimChar"/>
        </w:rPr>
        <w:t>win_copy</w:t>
      </w:r>
      <w:r>
        <w:t xml:space="preserve">s the </w:t>
      </w:r>
      <w:r>
        <w:rPr>
          <w:rStyle w:val="VerbatimChar"/>
        </w:rPr>
        <w:t>ps_scripts</w:t>
      </w:r>
      <w:r>
        <w:t xml:space="preserve"> folder onto it, runs </w:t>
      </w:r>
      <w:r>
        <w:rPr>
          <w:rStyle w:val="VerbatimChar"/>
        </w:rPr>
        <w:t>cvs_functions.ps1 -Action Get_Datastores_75_100_Used …</w:t>
      </w:r>
      <w:r>
        <w:t>, lists the staged folder, then deletes the temp directory.</w:t>
      </w:r>
    </w:p>
    <w:p w14:paraId="1A86CEDD" w14:textId="77777777" w:rsidR="00F04A94" w:rsidRDefault="00DF6B0B">
      <w:pPr>
        <w:pStyle w:val="Compact"/>
        <w:numPr>
          <w:ilvl w:val="0"/>
          <w:numId w:val="2"/>
        </w:numPr>
      </w:pPr>
      <w:r>
        <w:t xml:space="preserve">The playbook is only a </w:t>
      </w:r>
      <w:r>
        <w:rPr>
          <w:b/>
          <w:bCs/>
        </w:rPr>
        <w:t>delivery shell</w:t>
      </w:r>
      <w:r>
        <w:t>. All real work happens in the script, on</w:t>
      </w:r>
      <w:r>
        <w:t xml:space="preserve"> that one Windows host, using PowerCLI.</w:t>
      </w:r>
    </w:p>
    <w:p w14:paraId="40BAAA75" w14:textId="77777777" w:rsidR="00F04A94" w:rsidRDefault="00DF6B0B">
      <w:pPr>
        <w:pStyle w:val="Compact"/>
        <w:numPr>
          <w:ilvl w:val="0"/>
          <w:numId w:val="2"/>
        </w:numPr>
      </w:pPr>
      <w:r>
        <w:t>Production scope (</w:t>
      </w:r>
      <w:r>
        <w:rPr>
          <w:rStyle w:val="VerbatimChar"/>
        </w:rPr>
        <w:t>vars.txt</w:t>
      </w:r>
      <w:r>
        <w:t xml:space="preserve">): </w:t>
      </w:r>
      <w:r>
        <w:rPr>
          <w:b/>
          <w:bCs/>
        </w:rPr>
        <w:t>five vCenters</w:t>
      </w:r>
      <w:r>
        <w:t xml:space="preserve">, hardcoded as a comma-separated string — </w:t>
      </w:r>
      <w:r>
        <w:rPr>
          <w:rStyle w:val="VerbatimChar"/>
        </w:rPr>
        <w:t>vc01</w:t>
      </w:r>
      <w:r>
        <w:t xml:space="preserve">, </w:t>
      </w:r>
      <w:r>
        <w:rPr>
          <w:rStyle w:val="VerbatimChar"/>
        </w:rPr>
        <w:t>vcb01</w:t>
      </w:r>
      <w:r>
        <w:t xml:space="preserve">, </w:t>
      </w:r>
      <w:r>
        <w:rPr>
          <w:rStyle w:val="VerbatimChar"/>
        </w:rPr>
        <w:t>vcb02</w:t>
      </w:r>
      <w:r>
        <w:t xml:space="preserve">, </w:t>
      </w:r>
      <w:r>
        <w:rPr>
          <w:rStyle w:val="VerbatimChar"/>
        </w:rPr>
        <w:t>vc</w:t>
      </w:r>
      <w:r>
        <w:t xml:space="preserve">, </w:t>
      </w:r>
      <w:r>
        <w:rPr>
          <w:rStyle w:val="VerbatimChar"/>
        </w:rPr>
        <w:t>vc02</w:t>
      </w:r>
      <w:r>
        <w:t xml:space="preserve">, all </w:t>
      </w:r>
      <w:r>
        <w:rPr>
          <w:rStyle w:val="VerbatimChar"/>
        </w:rPr>
        <w:t>.corp.local</w:t>
      </w:r>
      <w:r>
        <w:t>.</w:t>
      </w:r>
    </w:p>
    <w:p w14:paraId="542A30DB" w14:textId="77777777" w:rsidR="00F04A94" w:rsidRDefault="00DF6B0B">
      <w:pPr>
        <w:pStyle w:val="Compact"/>
        <w:numPr>
          <w:ilvl w:val="0"/>
          <w:numId w:val="2"/>
        </w:numPr>
      </w:pPr>
      <w:r>
        <w:t>The script (</w:t>
      </w:r>
      <w:r>
        <w:rPr>
          <w:rStyle w:val="VerbatimChar"/>
        </w:rPr>
        <w:t>get_datastores_75_100_used</w:t>
      </w:r>
      <w:r>
        <w:t xml:space="preserve"> case, as received):</w:t>
      </w:r>
    </w:p>
    <w:p w14:paraId="71A1200A" w14:textId="77777777" w:rsidR="00F04A94" w:rsidRDefault="00DF6B0B">
      <w:pPr>
        <w:pStyle w:val="Compact"/>
        <w:numPr>
          <w:ilvl w:val="1"/>
          <w:numId w:val="3"/>
        </w:numPr>
      </w:pPr>
      <w:r>
        <w:t xml:space="preserve">Sets </w:t>
      </w:r>
      <w:r>
        <w:rPr>
          <w:rStyle w:val="VerbatimChar"/>
        </w:rPr>
        <w:t>$high = 90</w:t>
      </w:r>
      <w:r>
        <w:t xml:space="preserve">, and derives </w:t>
      </w:r>
      <w:r>
        <w:rPr>
          <w:rStyle w:val="VerbatimChar"/>
        </w:rPr>
        <w:t>$med = 80</w:t>
      </w:r>
      <w:r>
        <w:t xml:space="preserve">, </w:t>
      </w:r>
      <w:r>
        <w:rPr>
          <w:rStyle w:val="VerbatimChar"/>
        </w:rPr>
        <w:t>$low = 70</w:t>
      </w:r>
      <w:r>
        <w:t xml:space="preserve">, </w:t>
      </w:r>
      <w:r>
        <w:rPr>
          <w:rStyle w:val="VerbatimChar"/>
        </w:rPr>
        <w:t>$med_limit = 89.99</w:t>
      </w:r>
      <w:r>
        <w:t xml:space="preserve">, </w:t>
      </w:r>
      <w:r>
        <w:rPr>
          <w:rStyle w:val="VerbatimChar"/>
        </w:rPr>
        <w:t>$low_limit = 79.99</w:t>
      </w:r>
      <w:r>
        <w:t>.</w:t>
      </w:r>
    </w:p>
    <w:p w14:paraId="4D5721B5" w14:textId="77777777" w:rsidR="00F04A94" w:rsidRDefault="00DF6B0B">
      <w:pPr>
        <w:pStyle w:val="Compact"/>
        <w:numPr>
          <w:ilvl w:val="1"/>
          <w:numId w:val="3"/>
        </w:numPr>
      </w:pPr>
      <w:r>
        <w:t xml:space="preserve">Imports </w:t>
      </w:r>
      <w:r>
        <w:rPr>
          <w:rStyle w:val="VerbatimChar"/>
        </w:rPr>
        <w:t>VMware.VimAutomation.Core</w:t>
      </w:r>
      <w:r>
        <w:t xml:space="preserve">, then for each vCenter in the list: </w:t>
      </w:r>
      <w:r>
        <w:rPr>
          <w:rStyle w:val="VerbatimChar"/>
        </w:rPr>
        <w:t>Connect-VIServer -ErrorAction Stop</w:t>
      </w:r>
      <w:r>
        <w:t xml:space="preserve">, </w:t>
      </w:r>
      <w:r>
        <w:rPr>
          <w:rStyle w:val="VerbatimChar"/>
        </w:rPr>
        <w:t>Get-View -ViewType DataStore</w:t>
      </w:r>
      <w:r>
        <w:t xml:space="preserve">, computes percent used and percent free, and </w:t>
      </w:r>
      <w:r>
        <w:rPr>
          <w:b/>
          <w:bCs/>
        </w:rPr>
        <w:t>collects the datastore only if percent used is above 70 AND uncommitted space exceeds free space</w:t>
      </w:r>
      <w:r>
        <w:t>.</w:t>
      </w:r>
    </w:p>
    <w:p w14:paraId="22B5032F" w14:textId="77777777" w:rsidR="00F04A94" w:rsidRDefault="00DF6B0B">
      <w:pPr>
        <w:pStyle w:val="Compact"/>
        <w:numPr>
          <w:ilvl w:val="1"/>
          <w:numId w:val="3"/>
        </w:numPr>
      </w:pPr>
      <w:r>
        <w:t xml:space="preserve">Splits the collected rows into three bands, pipes each through </w:t>
      </w:r>
      <w:r>
        <w:rPr>
          <w:rStyle w:val="VerbatimChar"/>
        </w:rPr>
        <w:t>Sort-Object -Property Datastore -Unique</w:t>
      </w:r>
      <w:r>
        <w:t xml:space="preserve">, and renders each with </w:t>
      </w:r>
      <w:r>
        <w:rPr>
          <w:rStyle w:val="VerbatimChar"/>
        </w:rPr>
        <w:t>ConvertTo-Html -Fragment</w:t>
      </w:r>
      <w:r>
        <w:t>.</w:t>
      </w:r>
    </w:p>
    <w:p w14:paraId="1547E12B" w14:textId="77777777" w:rsidR="00F04A94" w:rsidRDefault="00DF6B0B">
      <w:pPr>
        <w:pStyle w:val="Compact"/>
        <w:numPr>
          <w:ilvl w:val="1"/>
          <w:numId w:val="3"/>
        </w:numPr>
      </w:pPr>
      <w:r>
        <w:t xml:space="preserve">Sets the mail subject to </w:t>
      </w:r>
      <w:r>
        <w:rPr>
          <w:rStyle w:val="VerbatimChar"/>
        </w:rPr>
        <w:t>"&lt;prefix&gt; | &lt;n&gt; Datastores @ 90%"</w:t>
      </w:r>
      <w:r>
        <w:t xml:space="preserve"> — the count of the </w:t>
      </w:r>
      <w:r>
        <w:rPr>
          <w:b/>
          <w:bCs/>
        </w:rPr>
        <w:t>top band only</w:t>
      </w:r>
      <w:r>
        <w:t>.</w:t>
      </w:r>
    </w:p>
    <w:p w14:paraId="0195DFDA" w14:textId="77777777" w:rsidR="00F04A94" w:rsidRDefault="00DF6B0B">
      <w:pPr>
        <w:pStyle w:val="Compact"/>
        <w:numPr>
          <w:ilvl w:val="1"/>
          <w:numId w:val="3"/>
        </w:numPr>
      </w:pPr>
      <w:r>
        <w:t xml:space="preserve">Appends the body to </w:t>
      </w:r>
      <w:r>
        <w:rPr>
          <w:rStyle w:val="VerbatimChar"/>
        </w:rPr>
        <w:t>Debug\result.html</w:t>
      </w:r>
      <w:r>
        <w:t xml:space="preserve"> and emails it via </w:t>
      </w:r>
      <w:r>
        <w:rPr>
          <w:rStyle w:val="VerbatimChar"/>
        </w:rPr>
        <w:t>Send-MailMessage</w:t>
      </w:r>
      <w:r>
        <w:t>.</w:t>
      </w:r>
    </w:p>
    <w:p w14:paraId="6DB96EA2" w14:textId="77777777" w:rsidR="00F04A94" w:rsidRDefault="00DF6B0B">
      <w:pPr>
        <w:pStyle w:val="Heading3"/>
      </w:pPr>
      <w:bookmarkStart w:id="4" w:name="Xa68070ffbdbe07f7fd4aac58776cb17d2933873"/>
      <w:bookmarkStart w:id="5" w:name="_Toc237519985"/>
      <w:r>
        <w:t>1A. Pre-existing defects — and which generation still carries them</w:t>
      </w:r>
      <w:bookmarkEnd w:id="5"/>
    </w:p>
    <w:p w14:paraId="7DD61EC8" w14:textId="77777777" w:rsidR="00F04A94" w:rsidRDefault="00DF6B0B">
      <w:pPr>
        <w:pStyle w:val="FirstParagraph"/>
      </w:pPr>
      <w:r>
        <w:t>Every one of these produced a report that looked correct, or a run that produced nothing at all with no indication why.</w:t>
      </w:r>
    </w:p>
    <w:p w14:paraId="1A67D39F" w14:textId="77777777" w:rsidR="00F04A94" w:rsidRDefault="00DF6B0B">
      <w:pPr>
        <w:pStyle w:val="BlockText"/>
      </w:pPr>
      <w:r>
        <w:rPr>
          <w:b/>
          <w:bCs/>
        </w:rPr>
        <w:t>Read §1D first.</w:t>
      </w:r>
      <w:r>
        <w:t xml:space="preserve"> Gen 2 (</w:t>
      </w:r>
      <w:r>
        <w:rPr>
          <w:rStyle w:val="VerbatimChar"/>
        </w:rPr>
        <w:t>cvs_50_100.ps1</w:t>
      </w:r>
      <w:r>
        <w:t xml:space="preserve">) has already fixed two of these and improved a third. Credit where it is due — this register does </w:t>
      </w:r>
      <w:r>
        <w:rPr>
          <w:b/>
          <w:bCs/>
        </w:rPr>
        <w:t>not</w:t>
      </w:r>
      <w:r>
        <w:t xml:space="preserve"> claim defects the customer has already corrected. The matrix in §1D is the summary; the detail below is written against Gen 1 and annotated where Gen 2 differs.</w:t>
      </w:r>
    </w:p>
    <w:tbl>
      <w:tblPr>
        <w:tblStyle w:val="Table"/>
        <w:tblW w:w="0" w:type="auto"/>
        <w:tblLook w:val="0020" w:firstRow="1" w:lastRow="0" w:firstColumn="0" w:lastColumn="0" w:noHBand="0" w:noVBand="0"/>
      </w:tblPr>
      <w:tblGrid>
        <w:gridCol w:w="328"/>
        <w:gridCol w:w="4468"/>
        <w:gridCol w:w="4780"/>
      </w:tblGrid>
      <w:tr w:rsidR="00F04A94" w14:paraId="0459E32A"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1C2E4312" w14:textId="77777777" w:rsidR="00F04A94" w:rsidRDefault="00DF6B0B">
            <w:pPr>
              <w:pStyle w:val="Compact"/>
            </w:pPr>
            <w:r>
              <w:t>#</w:t>
            </w:r>
          </w:p>
        </w:tc>
        <w:tc>
          <w:tcPr>
            <w:tcW w:w="0" w:type="auto"/>
          </w:tcPr>
          <w:p w14:paraId="35CFC7E1" w14:textId="77777777" w:rsidR="00F04A94" w:rsidRDefault="00DF6B0B">
            <w:pPr>
              <w:pStyle w:val="Compact"/>
            </w:pPr>
            <w:r>
              <w:t>Defect</w:t>
            </w:r>
          </w:p>
        </w:tc>
        <w:tc>
          <w:tcPr>
            <w:tcW w:w="0" w:type="auto"/>
          </w:tcPr>
          <w:p w14:paraId="7F33E15F" w14:textId="77777777" w:rsidR="00F04A94" w:rsidRDefault="00DF6B0B">
            <w:pPr>
              <w:pStyle w:val="Compact"/>
            </w:pPr>
            <w:r>
              <w:t>Effect today</w:t>
            </w:r>
          </w:p>
        </w:tc>
      </w:tr>
      <w:tr w:rsidR="00F04A94" w14:paraId="571D3470" w14:textId="77777777">
        <w:tc>
          <w:tcPr>
            <w:tcW w:w="0" w:type="auto"/>
          </w:tcPr>
          <w:p w14:paraId="076C7A3C" w14:textId="77777777" w:rsidR="00F04A94" w:rsidRDefault="00DF6B0B">
            <w:pPr>
              <w:pStyle w:val="Compact"/>
            </w:pPr>
            <w:r>
              <w:t>1</w:t>
            </w:r>
          </w:p>
        </w:tc>
        <w:tc>
          <w:tcPr>
            <w:tcW w:w="0" w:type="auto"/>
          </w:tcPr>
          <w:p w14:paraId="6799F735" w14:textId="77777777" w:rsidR="00F04A94" w:rsidRDefault="00DF6B0B">
            <w:pPr>
              <w:pStyle w:val="Compact"/>
            </w:pPr>
            <w:r>
              <w:rPr>
                <w:b/>
                <w:bCs/>
              </w:rPr>
              <w:t>The overcommit AND.</w:t>
            </w:r>
            <w:r>
              <w:t xml:space="preserve"> Collection required </w:t>
            </w:r>
            <w:r>
              <w:rPr>
                <w:rStyle w:val="VerbatimChar"/>
              </w:rPr>
              <w:t>($percentUsed -gt $dsPercentUsed) -and ($ds.summary.uncommitted -gt $ds.summary.freespace)</w:t>
            </w:r>
            <w:r>
              <w:t>. Both conditions had to hold.</w:t>
            </w:r>
          </w:p>
        </w:tc>
        <w:tc>
          <w:tcPr>
            <w:tcW w:w="0" w:type="auto"/>
          </w:tcPr>
          <w:p w14:paraId="18AD9AED" w14:textId="77777777" w:rsidR="00F04A94" w:rsidRDefault="00DF6B0B">
            <w:pPr>
              <w:pStyle w:val="Compact"/>
            </w:pPr>
            <w:r>
              <w:rPr>
                <w:b/>
                <w:bCs/>
              </w:rPr>
              <w:t>A datastore at 99% used is not reported unless it is also overcommitted.</w:t>
            </w:r>
            <w:r>
              <w:t xml:space="preserve"> A thick-provisioned or steadily-grown volume that is nearly full — the single most urgent case a capacity report exists to catch — has never appeared on it. The report heading says "Less Free Space than Uncommitted will be counted", so the behaviour is intentional; the consequence appears not to be.</w:t>
            </w:r>
          </w:p>
        </w:tc>
      </w:tr>
      <w:tr w:rsidR="00F04A94" w14:paraId="7FD76136" w14:textId="77777777">
        <w:tc>
          <w:tcPr>
            <w:tcW w:w="0" w:type="auto"/>
          </w:tcPr>
          <w:p w14:paraId="16718B53" w14:textId="77777777" w:rsidR="00F04A94" w:rsidRDefault="00DF6B0B">
            <w:pPr>
              <w:pStyle w:val="Compact"/>
            </w:pPr>
            <w:r>
              <w:t>2</w:t>
            </w:r>
          </w:p>
        </w:tc>
        <w:tc>
          <w:tcPr>
            <w:tcW w:w="0" w:type="auto"/>
          </w:tcPr>
          <w:p w14:paraId="1CFAB271" w14:textId="77777777" w:rsidR="00F04A94" w:rsidRDefault="00DF6B0B">
            <w:pPr>
              <w:pStyle w:val="Compact"/>
            </w:pPr>
            <w:r>
              <w:rPr>
                <w:b/>
                <w:bCs/>
              </w:rPr>
              <w:t xml:space="preserve">No exception handling around </w:t>
            </w:r>
            <w:r>
              <w:rPr>
                <w:rStyle w:val="VerbatimChar"/>
                <w:b/>
                <w:bCs/>
              </w:rPr>
              <w:t>Connect-VIServer</w:t>
            </w:r>
            <w:r>
              <w:rPr>
                <w:b/>
                <w:bCs/>
              </w:rPr>
              <w:t>.</w:t>
            </w:r>
            <w:r>
              <w:t xml:space="preserve"> The connect call carries </w:t>
            </w:r>
            <w:r>
              <w:rPr>
                <w:rStyle w:val="VerbatimChar"/>
              </w:rPr>
              <w:t>-ErrorAction Stop</w:t>
            </w:r>
            <w:r>
              <w:t xml:space="preserve"> and sits in the </w:t>
            </w:r>
            <w:r>
              <w:rPr>
                <w:rStyle w:val="VerbatimChar"/>
              </w:rPr>
              <w:t>foreach</w:t>
            </w:r>
            <w:r>
              <w:t xml:space="preserve"> loop with no </w:t>
            </w:r>
            <w:r>
              <w:rPr>
                <w:rStyle w:val="VerbatimChar"/>
              </w:rPr>
              <w:t>try</w:t>
            </w:r>
            <w:r>
              <w:t>/</w:t>
            </w:r>
            <w:r>
              <w:rPr>
                <w:rStyle w:val="VerbatimChar"/>
              </w:rPr>
              <w:t>catch</w:t>
            </w:r>
            <w:r>
              <w:t xml:space="preserve">. </w:t>
            </w:r>
            <w:r>
              <w:rPr>
                <w:b/>
                <w:bCs/>
              </w:rPr>
              <w:t>Gen 2 partly fixes this</w:t>
            </w:r>
            <w:r>
              <w:t xml:space="preserve"> with a TCP/443 preflight (5s timeout, then </w:t>
            </w:r>
            <w:r>
              <w:rPr>
                <w:rStyle w:val="VerbatimChar"/>
              </w:rPr>
              <w:t>continue</w:t>
            </w:r>
            <w:r>
              <w:t>).</w:t>
            </w:r>
          </w:p>
        </w:tc>
        <w:tc>
          <w:tcPr>
            <w:tcW w:w="0" w:type="auto"/>
          </w:tcPr>
          <w:p w14:paraId="589C50DF" w14:textId="77777777" w:rsidR="00F04A94" w:rsidRDefault="00DF6B0B">
            <w:pPr>
              <w:pStyle w:val="Compact"/>
            </w:pPr>
            <w:r>
              <w:t xml:space="preserve">Gen 1: </w:t>
            </w:r>
            <w:r>
              <w:rPr>
                <w:b/>
                <w:bCs/>
              </w:rPr>
              <w:t>one unreachable vCenter out of five ends the entire run and no report is emailed at all</w:t>
            </w:r>
            <w:r>
              <w:t xml:space="preserve"> — indistinguishable to recipients from a healthy estate or a missed schedule. Gen 2: an </w:t>
            </w:r>
            <w:r>
              <w:rPr>
                <w:i/>
                <w:iCs/>
              </w:rPr>
              <w:t>unreachable</w:t>
            </w:r>
            <w:r>
              <w:t xml:space="preserve"> vCenter is now skipped correctly, but a vCenter that </w:t>
            </w:r>
            <w:r>
              <w:rPr>
                <w:b/>
                <w:bCs/>
              </w:rPr>
              <w:t>answers on 443 and then fails authentication</w:t>
            </w:r>
            <w:r>
              <w:t xml:space="preserve"> </w:t>
            </w:r>
            <w:r>
              <w:t>— expired service account, locked out, changed password, certificate rejection — still terminates the run with no report. The preflight tests reachability, not the thing that actually fails most often.</w:t>
            </w:r>
          </w:p>
        </w:tc>
      </w:tr>
      <w:tr w:rsidR="00F04A94" w14:paraId="4E758473" w14:textId="77777777">
        <w:tc>
          <w:tcPr>
            <w:tcW w:w="0" w:type="auto"/>
          </w:tcPr>
          <w:p w14:paraId="04B94B88" w14:textId="77777777" w:rsidR="00F04A94" w:rsidRDefault="00DF6B0B">
            <w:pPr>
              <w:pStyle w:val="Compact"/>
            </w:pPr>
            <w:r>
              <w:t>3</w:t>
            </w:r>
          </w:p>
        </w:tc>
        <w:tc>
          <w:tcPr>
            <w:tcW w:w="0" w:type="auto"/>
          </w:tcPr>
          <w:p w14:paraId="53935E12" w14:textId="77777777" w:rsidR="00F04A94" w:rsidRDefault="00DF6B0B">
            <w:pPr>
              <w:pStyle w:val="Compact"/>
            </w:pPr>
            <w:r>
              <w:rPr>
                <w:b/>
                <w:bCs/>
                <w:strike/>
              </w:rPr>
              <w:t>No divide-by-zero guard.</w:t>
            </w:r>
            <w:r>
              <w:t xml:space="preserve"> </w:t>
            </w:r>
            <w:r>
              <w:rPr>
                <w:b/>
                <w:bCs/>
              </w:rPr>
              <w:t>FIXED IN GEN 2</w:t>
            </w:r>
            <w:r>
              <w:t xml:space="preserve"> by </w:t>
            </w:r>
            <w:r>
              <w:rPr>
                <w:rStyle w:val="VerbatimChar"/>
              </w:rPr>
              <w:t>if ($ds.Summary.Capacity -le 0) { continue }</w:t>
            </w:r>
            <w:r>
              <w:t>.</w:t>
            </w:r>
          </w:p>
        </w:tc>
        <w:tc>
          <w:tcPr>
            <w:tcW w:w="0" w:type="auto"/>
          </w:tcPr>
          <w:p w14:paraId="578CC52F" w14:textId="77777777" w:rsidR="00F04A94" w:rsidRDefault="00DF6B0B">
            <w:pPr>
              <w:pStyle w:val="Compact"/>
            </w:pPr>
            <w:r>
              <w:t xml:space="preserve">Gen 1 only: a terminating "Attempted to divide by zero" kills the run mid-inventory from a single decommissioned volume. </w:t>
            </w:r>
            <w:r>
              <w:rPr>
                <w:b/>
                <w:bCs/>
              </w:rPr>
              <w:t>No action needed if Gen 2 is deployed.</w:t>
            </w:r>
          </w:p>
        </w:tc>
      </w:tr>
      <w:tr w:rsidR="00F04A94" w14:paraId="18CDEE53" w14:textId="77777777">
        <w:tc>
          <w:tcPr>
            <w:tcW w:w="0" w:type="auto"/>
          </w:tcPr>
          <w:p w14:paraId="0D670A98" w14:textId="77777777" w:rsidR="00F04A94" w:rsidRDefault="00DF6B0B">
            <w:pPr>
              <w:pStyle w:val="Compact"/>
            </w:pPr>
            <w:r>
              <w:t>4</w:t>
            </w:r>
          </w:p>
        </w:tc>
        <w:tc>
          <w:tcPr>
            <w:tcW w:w="0" w:type="auto"/>
          </w:tcPr>
          <w:p w14:paraId="450E2264" w14:textId="77777777" w:rsidR="00F04A94" w:rsidRDefault="00DF6B0B">
            <w:pPr>
              <w:pStyle w:val="Compact"/>
            </w:pPr>
            <w:r>
              <w:rPr>
                <w:rStyle w:val="VerbatimChar"/>
                <w:b/>
                <w:bCs/>
              </w:rPr>
              <w:t>Sort-Object -Property Datastore -Unique</w:t>
            </w:r>
            <w:r>
              <w:t xml:space="preserve"> </w:t>
            </w:r>
            <w:r>
              <w:t xml:space="preserve">de-duplicates on the datastore </w:t>
            </w:r>
            <w:r>
              <w:rPr>
                <w:b/>
                <w:bCs/>
              </w:rPr>
              <w:t>name</w:t>
            </w:r>
            <w:r>
              <w:t>, across the merged results of all five vCenters.</w:t>
            </w:r>
          </w:p>
        </w:tc>
        <w:tc>
          <w:tcPr>
            <w:tcW w:w="0" w:type="auto"/>
          </w:tcPr>
          <w:p w14:paraId="4A4A2082" w14:textId="77777777" w:rsidR="00F04A94" w:rsidRDefault="00DF6B0B">
            <w:pPr>
              <w:pStyle w:val="Compact"/>
            </w:pPr>
            <w:r>
              <w:rPr>
                <w:b/>
                <w:bCs/>
              </w:rPr>
              <w:t>A datastore whose name already appeared on another vCenter is silently discarded.</w:t>
            </w:r>
            <w:r>
              <w:t xml:space="preserve"> Datastore naming conventions are normally per-site, so collisions across a five-vCenter estate are the norm rather than the exception. The surviving row is whichever sorted first — the discarded one may be the fuller of the two.</w:t>
            </w:r>
          </w:p>
        </w:tc>
      </w:tr>
      <w:tr w:rsidR="00F04A94" w14:paraId="2C27815E" w14:textId="77777777">
        <w:tc>
          <w:tcPr>
            <w:tcW w:w="0" w:type="auto"/>
          </w:tcPr>
          <w:p w14:paraId="2F3CAA7D" w14:textId="77777777" w:rsidR="00F04A94" w:rsidRDefault="00DF6B0B">
            <w:pPr>
              <w:pStyle w:val="Compact"/>
            </w:pPr>
            <w:r>
              <w:t>5</w:t>
            </w:r>
          </w:p>
        </w:tc>
        <w:tc>
          <w:tcPr>
            <w:tcW w:w="0" w:type="auto"/>
          </w:tcPr>
          <w:p w14:paraId="45654A10" w14:textId="77777777" w:rsidR="00F04A94" w:rsidRDefault="00DF6B0B">
            <w:pPr>
              <w:pStyle w:val="Compact"/>
            </w:pPr>
            <w:r>
              <w:rPr>
                <w:b/>
                <w:bCs/>
              </w:rPr>
              <w:t>Gaps between the bands.</w:t>
            </w:r>
            <w:r>
              <w:t xml:space="preserve"> </w:t>
            </w:r>
            <w:r>
              <w:rPr>
                <w:rStyle w:val="VerbatimChar"/>
              </w:rPr>
              <w:t>high: -gt 90</w:t>
            </w:r>
            <w:r>
              <w:t xml:space="preserve">; </w:t>
            </w:r>
            <w:r>
              <w:rPr>
                <w:rStyle w:val="VerbatimChar"/>
              </w:rPr>
              <w:t>med: -gt 80 -and -lt 89.99</w:t>
            </w:r>
            <w:r>
              <w:t xml:space="preserve">; </w:t>
            </w:r>
            <w:r>
              <w:rPr>
                <w:rStyle w:val="VerbatimChar"/>
              </w:rPr>
              <w:t>low: -gt 70 -and -lt 79.99</w:t>
            </w:r>
            <w:r>
              <w:t xml:space="preserve">. The comparisons are strict and the limits are </w:t>
            </w:r>
            <w:r>
              <w:rPr>
                <w:rStyle w:val="VerbatimChar"/>
              </w:rPr>
              <w:t>-0.01</w:t>
            </w:r>
            <w:r>
              <w:t xml:space="preserve"> below the next floor.</w:t>
            </w:r>
          </w:p>
        </w:tc>
        <w:tc>
          <w:tcPr>
            <w:tcW w:w="0" w:type="auto"/>
          </w:tcPr>
          <w:p w14:paraId="59D71AAF" w14:textId="77777777" w:rsidR="00F04A94" w:rsidRDefault="00DF6B0B">
            <w:pPr>
              <w:pStyle w:val="Compact"/>
            </w:pPr>
            <w:r>
              <w:t xml:space="preserve">A datastore at </w:t>
            </w:r>
            <w:r>
              <w:rPr>
                <w:b/>
                <w:bCs/>
              </w:rPr>
              <w:t>exactly 90.00%</w:t>
            </w:r>
            <w:r>
              <w:t xml:space="preserve">, </w:t>
            </w:r>
            <w:r>
              <w:rPr>
                <w:b/>
                <w:bCs/>
              </w:rPr>
              <w:t>exactly 89.99%</w:t>
            </w:r>
            <w:r>
              <w:t xml:space="preserve">, </w:t>
            </w:r>
            <w:r>
              <w:rPr>
                <w:b/>
                <w:bCs/>
              </w:rPr>
              <w:t>exactly 80.00%</w:t>
            </w:r>
            <w:r>
              <w:t xml:space="preserve"> or </w:t>
            </w:r>
            <w:r>
              <w:rPr>
                <w:b/>
                <w:bCs/>
              </w:rPr>
              <w:t>exactly 70.00%</w:t>
            </w:r>
            <w:r>
              <w:t xml:space="preserve"> matches </w:t>
            </w:r>
            <w:r>
              <w:rPr>
                <w:b/>
                <w:bCs/>
              </w:rPr>
              <w:t>no band and is shown nowhere</w:t>
            </w:r>
            <w:r>
              <w:t>, despite having been collected. Values between 89.99 and 90.00, and between 79.99 and 80.00, fall in the same holes.</w:t>
            </w:r>
          </w:p>
        </w:tc>
      </w:tr>
      <w:tr w:rsidR="00F04A94" w14:paraId="7F98894D" w14:textId="77777777">
        <w:tc>
          <w:tcPr>
            <w:tcW w:w="0" w:type="auto"/>
          </w:tcPr>
          <w:p w14:paraId="029ACC2B" w14:textId="77777777" w:rsidR="00F04A94" w:rsidRDefault="00DF6B0B">
            <w:pPr>
              <w:pStyle w:val="Compact"/>
            </w:pPr>
            <w:r>
              <w:t>6</w:t>
            </w:r>
          </w:p>
        </w:tc>
        <w:tc>
          <w:tcPr>
            <w:tcW w:w="0" w:type="auto"/>
          </w:tcPr>
          <w:p w14:paraId="07973902" w14:textId="77777777" w:rsidR="00F04A94" w:rsidRDefault="00DF6B0B">
            <w:pPr>
              <w:pStyle w:val="Compact"/>
            </w:pPr>
            <w:r>
              <w:rPr>
                <w:b/>
                <w:bCs/>
              </w:rPr>
              <w:t>The mail subject counts the top band only</w:t>
            </w:r>
            <w:r>
              <w:t xml:space="preserve"> — </w:t>
            </w:r>
            <w:r>
              <w:rPr>
                <w:rStyle w:val="VerbatimChar"/>
              </w:rPr>
              <w:t>"$alert_high_cnt Datastores @ $high%"</w:t>
            </w:r>
            <w:r>
              <w:t>.</w:t>
            </w:r>
          </w:p>
        </w:tc>
        <w:tc>
          <w:tcPr>
            <w:tcW w:w="0" w:type="auto"/>
          </w:tcPr>
          <w:p w14:paraId="4F72BBB9" w14:textId="77777777" w:rsidR="00F04A94" w:rsidRDefault="00DF6B0B">
            <w:pPr>
              <w:pStyle w:val="Compact"/>
            </w:pPr>
            <w:r>
              <w:t xml:space="preserve">A subject reading </w:t>
            </w:r>
            <w:r>
              <w:rPr>
                <w:b/>
                <w:bCs/>
              </w:rPr>
              <w:t>"0 Datastores @ 90%"</w:t>
            </w:r>
            <w:r>
              <w:t xml:space="preserve"> </w:t>
            </w:r>
            <w:r>
              <w:t>is sent while fifty datastores sit at 89%. The subject line is the only part of the report most recipients read on a phone.</w:t>
            </w:r>
          </w:p>
        </w:tc>
      </w:tr>
    </w:tbl>
    <w:p w14:paraId="19D84F7A" w14:textId="77777777" w:rsidR="00F04A94" w:rsidRDefault="00DF6B0B">
      <w:pPr>
        <w:pStyle w:val="BodyText"/>
      </w:pPr>
      <w:r>
        <w:t xml:space="preserve">Alongside those, both generations carry the resilience and hygiene gaps this transition has been closing across the programme: the report body is </w:t>
      </w:r>
      <w:r>
        <w:rPr>
          <w:b/>
          <w:bCs/>
        </w:rPr>
        <w:t>appended</w:t>
      </w:r>
      <w:r>
        <w:t xml:space="preserve"> to </w:t>
      </w:r>
      <w:r>
        <w:rPr>
          <w:rStyle w:val="VerbatimChar"/>
        </w:rPr>
        <w:t>debug\result.html</w:t>
      </w:r>
      <w:r>
        <w:t xml:space="preserve"> on every run, so that file grows without bound (Gen 2 still uses </w:t>
      </w:r>
      <w:r>
        <w:rPr>
          <w:rStyle w:val="VerbatimChar"/>
        </w:rPr>
        <w:t>Out-File -Append</w:t>
      </w:r>
      <w:r>
        <w:t xml:space="preserve">; note the newer </w:t>
      </w:r>
      <w:r>
        <w:rPr>
          <w:rStyle w:val="VerbatimChar"/>
        </w:rPr>
        <w:t>cvs_datastore_fill_projection.ps1</w:t>
      </w:r>
      <w:r>
        <w:t xml:space="preserve"> correctly does not); and there is no </w:t>
      </w:r>
      <w:r>
        <w:rPr>
          <w:rStyle w:val="VerbatimChar"/>
        </w:rPr>
        <w:t>try</w:t>
      </w:r>
      <w:r>
        <w:t>/</w:t>
      </w:r>
      <w:r>
        <w:rPr>
          <w:rStyle w:val="VerbatimChar"/>
        </w:rPr>
        <w:t>catch</w:t>
      </w:r>
      <w:r>
        <w:t xml:space="preserve"> </w:t>
      </w:r>
      <w:r>
        <w:t>isolating a single unreadable datastore from the rest of the sweep, so a property that faults mid-enumeration still ends the run.</w:t>
      </w:r>
    </w:p>
    <w:p w14:paraId="1A6DC294" w14:textId="77777777" w:rsidR="00F04A94" w:rsidRDefault="00DF6B0B">
      <w:pPr>
        <w:pStyle w:val="Heading3"/>
      </w:pPr>
      <w:bookmarkStart w:id="6" w:name="X71154bf826e2574218f2655000c48674713c04c"/>
      <w:bookmarkStart w:id="7" w:name="_Toc237519986"/>
      <w:bookmarkEnd w:id="4"/>
      <w:r>
        <w:t>1D. Generation matrix — what is already fixed</w:t>
      </w:r>
      <w:bookmarkEnd w:id="7"/>
    </w:p>
    <w:p w14:paraId="7FCE77A3" w14:textId="77777777" w:rsidR="00F04A94" w:rsidRDefault="00DF6B0B">
      <w:pPr>
        <w:pStyle w:val="FirstParagraph"/>
      </w:pPr>
      <w:r>
        <w:rPr>
          <w:rStyle w:val="VerbatimChar"/>
        </w:rPr>
        <w:t>cvs_50_100.ps1</w:t>
      </w:r>
      <w:r>
        <w:t xml:space="preserve"> (Gen 2) is a rewrite, not a patch: it is standalone, does not source </w:t>
      </w:r>
      <w:r>
        <w:rPr>
          <w:rStyle w:val="VerbatimChar"/>
        </w:rPr>
        <w:t>cvs_functions.ps1</w:t>
      </w:r>
      <w:r>
        <w:t xml:space="preserve">, takes vCenter credentials from Ansible Vault via </w:t>
      </w:r>
      <w:r>
        <w:rPr>
          <w:rStyle w:val="VerbatimChar"/>
        </w:rPr>
        <w:t>VC_USER</w:t>
      </w:r>
      <w:r>
        <w:t xml:space="preserve"> / </w:t>
      </w:r>
      <w:r>
        <w:rPr>
          <w:rStyle w:val="VerbatimChar"/>
        </w:rPr>
        <w:t>VC_PASS</w:t>
      </w:r>
      <w:r>
        <w:t xml:space="preserve"> environment variables, and carries a purpose-built HTML email formatter. </w:t>
      </w:r>
      <w:r>
        <w:rPr>
          <w:b/>
          <w:bCs/>
        </w:rPr>
        <w:t>It is materially better engineering than Gen 1 and this register credits it as such.</w:t>
      </w:r>
    </w:p>
    <w:tbl>
      <w:tblPr>
        <w:tblStyle w:val="Table"/>
        <w:tblW w:w="0" w:type="auto"/>
        <w:tblLook w:val="0020" w:firstRow="1" w:lastRow="0" w:firstColumn="0" w:lastColumn="0" w:noHBand="0" w:noVBand="0"/>
      </w:tblPr>
      <w:tblGrid>
        <w:gridCol w:w="440"/>
        <w:gridCol w:w="2993"/>
        <w:gridCol w:w="2111"/>
        <w:gridCol w:w="2356"/>
        <w:gridCol w:w="1676"/>
      </w:tblGrid>
      <w:tr w:rsidR="00F04A94" w14:paraId="5EABA335"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2ED09A2F" w14:textId="77777777" w:rsidR="00F04A94" w:rsidRDefault="00DF6B0B">
            <w:pPr>
              <w:pStyle w:val="Compact"/>
            </w:pPr>
            <w:r>
              <w:t>#</w:t>
            </w:r>
          </w:p>
        </w:tc>
        <w:tc>
          <w:tcPr>
            <w:tcW w:w="0" w:type="auto"/>
          </w:tcPr>
          <w:p w14:paraId="13B7BB31" w14:textId="77777777" w:rsidR="00F04A94" w:rsidRDefault="00DF6B0B">
            <w:pPr>
              <w:pStyle w:val="Compact"/>
            </w:pPr>
            <w:r>
              <w:t>Defect</w:t>
            </w:r>
          </w:p>
        </w:tc>
        <w:tc>
          <w:tcPr>
            <w:tcW w:w="0" w:type="auto"/>
          </w:tcPr>
          <w:p w14:paraId="0A951089" w14:textId="77777777" w:rsidR="00F04A94" w:rsidRDefault="00DF6B0B">
            <w:pPr>
              <w:pStyle w:val="Compact"/>
            </w:pPr>
            <w:r>
              <w:t xml:space="preserve">Gen 1 </w:t>
            </w:r>
            <w:r>
              <w:rPr>
                <w:rStyle w:val="VerbatimChar"/>
              </w:rPr>
              <w:t>cvs_functions.ps1</w:t>
            </w:r>
          </w:p>
        </w:tc>
        <w:tc>
          <w:tcPr>
            <w:tcW w:w="0" w:type="auto"/>
          </w:tcPr>
          <w:p w14:paraId="13A8010F" w14:textId="77777777" w:rsidR="00F04A94" w:rsidRDefault="00DF6B0B">
            <w:pPr>
              <w:pStyle w:val="Compact"/>
            </w:pPr>
            <w:r>
              <w:t xml:space="preserve">Gen 2 </w:t>
            </w:r>
            <w:r>
              <w:rPr>
                <w:rStyle w:val="VerbatimChar"/>
              </w:rPr>
              <w:t>cvs_50_100.ps1</w:t>
            </w:r>
          </w:p>
        </w:tc>
        <w:tc>
          <w:tcPr>
            <w:tcW w:w="0" w:type="auto"/>
          </w:tcPr>
          <w:p w14:paraId="2F3D5326" w14:textId="77777777" w:rsidR="00F04A94" w:rsidRDefault="00DF6B0B">
            <w:pPr>
              <w:pStyle w:val="Compact"/>
            </w:pPr>
            <w:r>
              <w:t>Fixed by this transition</w:t>
            </w:r>
          </w:p>
        </w:tc>
      </w:tr>
      <w:tr w:rsidR="00F04A94" w14:paraId="30103ABF" w14:textId="77777777">
        <w:tc>
          <w:tcPr>
            <w:tcW w:w="0" w:type="auto"/>
          </w:tcPr>
          <w:p w14:paraId="79A11040" w14:textId="77777777" w:rsidR="00F04A94" w:rsidRDefault="00DF6B0B">
            <w:pPr>
              <w:pStyle w:val="Compact"/>
            </w:pPr>
            <w:r>
              <w:t>1</w:t>
            </w:r>
          </w:p>
        </w:tc>
        <w:tc>
          <w:tcPr>
            <w:tcW w:w="0" w:type="auto"/>
          </w:tcPr>
          <w:p w14:paraId="32F96BF3" w14:textId="77777777" w:rsidR="00F04A94" w:rsidRDefault="00DF6B0B">
            <w:pPr>
              <w:pStyle w:val="Compact"/>
            </w:pPr>
            <w:r>
              <w:t>Overcommit AND in collection</w:t>
            </w:r>
          </w:p>
        </w:tc>
        <w:tc>
          <w:tcPr>
            <w:tcW w:w="0" w:type="auto"/>
          </w:tcPr>
          <w:p w14:paraId="25AF1721" w14:textId="77777777" w:rsidR="00F04A94" w:rsidRDefault="00DF6B0B">
            <w:pPr>
              <w:pStyle w:val="Compact"/>
            </w:pPr>
            <w:r>
              <w:t>Present</w:t>
            </w:r>
          </w:p>
        </w:tc>
        <w:tc>
          <w:tcPr>
            <w:tcW w:w="0" w:type="auto"/>
          </w:tcPr>
          <w:p w14:paraId="49171C43" w14:textId="77777777" w:rsidR="00F04A94" w:rsidRDefault="00DF6B0B">
            <w:pPr>
              <w:pStyle w:val="Compact"/>
            </w:pPr>
            <w:r>
              <w:rPr>
                <w:b/>
                <w:bCs/>
              </w:rPr>
              <w:t>Present</w:t>
            </w:r>
          </w:p>
        </w:tc>
        <w:tc>
          <w:tcPr>
            <w:tcW w:w="0" w:type="auto"/>
          </w:tcPr>
          <w:p w14:paraId="16A416ED" w14:textId="77777777" w:rsidR="00F04A94" w:rsidRDefault="00DF6B0B">
            <w:pPr>
              <w:pStyle w:val="Compact"/>
            </w:pPr>
            <w:r>
              <w:t>Yes — P-36</w:t>
            </w:r>
          </w:p>
        </w:tc>
      </w:tr>
      <w:tr w:rsidR="00F04A94" w14:paraId="357F1EBD" w14:textId="77777777">
        <w:tc>
          <w:tcPr>
            <w:tcW w:w="0" w:type="auto"/>
          </w:tcPr>
          <w:p w14:paraId="79AA7126" w14:textId="77777777" w:rsidR="00F04A94" w:rsidRDefault="00DF6B0B">
            <w:pPr>
              <w:pStyle w:val="Compact"/>
            </w:pPr>
            <w:r>
              <w:t>2</w:t>
            </w:r>
          </w:p>
        </w:tc>
        <w:tc>
          <w:tcPr>
            <w:tcW w:w="0" w:type="auto"/>
          </w:tcPr>
          <w:p w14:paraId="1AC3AEC0" w14:textId="77777777" w:rsidR="00F04A94" w:rsidRDefault="00DF6B0B">
            <w:pPr>
              <w:pStyle w:val="Compact"/>
            </w:pPr>
            <w:r>
              <w:t>Unreachable vCenter ends the run</w:t>
            </w:r>
          </w:p>
        </w:tc>
        <w:tc>
          <w:tcPr>
            <w:tcW w:w="0" w:type="auto"/>
          </w:tcPr>
          <w:p w14:paraId="6013BD9C" w14:textId="77777777" w:rsidR="00F04A94" w:rsidRDefault="00DF6B0B">
            <w:pPr>
              <w:pStyle w:val="Compact"/>
            </w:pPr>
            <w:r>
              <w:t>Present</w:t>
            </w:r>
          </w:p>
        </w:tc>
        <w:tc>
          <w:tcPr>
            <w:tcW w:w="0" w:type="auto"/>
          </w:tcPr>
          <w:p w14:paraId="705DFCE9" w14:textId="77777777" w:rsidR="00F04A94" w:rsidRDefault="00DF6B0B">
            <w:pPr>
              <w:pStyle w:val="Compact"/>
            </w:pPr>
            <w:r>
              <w:rPr>
                <w:b/>
                <w:bCs/>
              </w:rPr>
              <w:t>Improved</w:t>
            </w:r>
            <w:r>
              <w:t xml:space="preserve"> — TCP/443 preflight; </w:t>
            </w:r>
            <w:r>
              <w:rPr>
                <w:i/>
                <w:iCs/>
              </w:rPr>
              <w:t>auth failure still fatal</w:t>
            </w:r>
          </w:p>
        </w:tc>
        <w:tc>
          <w:tcPr>
            <w:tcW w:w="0" w:type="auto"/>
          </w:tcPr>
          <w:p w14:paraId="60BC5E6B" w14:textId="77777777" w:rsidR="00F04A94" w:rsidRDefault="00DF6B0B">
            <w:pPr>
              <w:pStyle w:val="Compact"/>
            </w:pPr>
            <w:r>
              <w:t>Yes — P-35</w:t>
            </w:r>
          </w:p>
        </w:tc>
      </w:tr>
      <w:tr w:rsidR="00F04A94" w14:paraId="04B16F6F" w14:textId="77777777">
        <w:tc>
          <w:tcPr>
            <w:tcW w:w="0" w:type="auto"/>
          </w:tcPr>
          <w:p w14:paraId="68CB19C4" w14:textId="77777777" w:rsidR="00F04A94" w:rsidRDefault="00DF6B0B">
            <w:pPr>
              <w:pStyle w:val="Compact"/>
            </w:pPr>
            <w:r>
              <w:t>3</w:t>
            </w:r>
          </w:p>
        </w:tc>
        <w:tc>
          <w:tcPr>
            <w:tcW w:w="0" w:type="auto"/>
          </w:tcPr>
          <w:p w14:paraId="52A85DA0" w14:textId="77777777" w:rsidR="00F04A94" w:rsidRDefault="00DF6B0B">
            <w:pPr>
              <w:pStyle w:val="Compact"/>
            </w:pPr>
            <w:r>
              <w:t xml:space="preserve">Divide by zero on </w:t>
            </w:r>
            <w:r>
              <w:rPr>
                <w:rStyle w:val="VerbatimChar"/>
              </w:rPr>
              <w:t>capacity = 0</w:t>
            </w:r>
          </w:p>
        </w:tc>
        <w:tc>
          <w:tcPr>
            <w:tcW w:w="0" w:type="auto"/>
          </w:tcPr>
          <w:p w14:paraId="201CB2C5" w14:textId="77777777" w:rsidR="00F04A94" w:rsidRDefault="00DF6B0B">
            <w:pPr>
              <w:pStyle w:val="Compact"/>
            </w:pPr>
            <w:r>
              <w:t>Present</w:t>
            </w:r>
          </w:p>
        </w:tc>
        <w:tc>
          <w:tcPr>
            <w:tcW w:w="0" w:type="auto"/>
          </w:tcPr>
          <w:p w14:paraId="0802FBC6" w14:textId="77777777" w:rsidR="00F04A94" w:rsidRDefault="00DF6B0B">
            <w:pPr>
              <w:pStyle w:val="Compact"/>
            </w:pPr>
            <w:r>
              <w:rPr>
                <w:b/>
                <w:bCs/>
              </w:rPr>
              <w:t>Fixed</w:t>
            </w:r>
          </w:p>
        </w:tc>
        <w:tc>
          <w:tcPr>
            <w:tcW w:w="0" w:type="auto"/>
          </w:tcPr>
          <w:p w14:paraId="758183FD" w14:textId="77777777" w:rsidR="00F04A94" w:rsidRDefault="00DF6B0B">
            <w:pPr>
              <w:pStyle w:val="Compact"/>
            </w:pPr>
            <w:r>
              <w:t>n/a</w:t>
            </w:r>
          </w:p>
        </w:tc>
      </w:tr>
      <w:tr w:rsidR="00F04A94" w14:paraId="5B665288" w14:textId="77777777">
        <w:tc>
          <w:tcPr>
            <w:tcW w:w="0" w:type="auto"/>
          </w:tcPr>
          <w:p w14:paraId="260CA5CE" w14:textId="77777777" w:rsidR="00F04A94" w:rsidRDefault="00DF6B0B">
            <w:pPr>
              <w:pStyle w:val="Compact"/>
            </w:pPr>
            <w:r>
              <w:t>4</w:t>
            </w:r>
          </w:p>
        </w:tc>
        <w:tc>
          <w:tcPr>
            <w:tcW w:w="0" w:type="auto"/>
          </w:tcPr>
          <w:p w14:paraId="4E419751" w14:textId="77777777" w:rsidR="00F04A94" w:rsidRDefault="00DF6B0B">
            <w:pPr>
              <w:pStyle w:val="Compact"/>
            </w:pPr>
            <w:r>
              <w:rPr>
                <w:rStyle w:val="VerbatimChar"/>
              </w:rPr>
              <w:t>Sort-Object -Unique</w:t>
            </w:r>
            <w:r>
              <w:t xml:space="preserve"> on datastore </w:t>
            </w:r>
            <w:r>
              <w:rPr>
                <w:b/>
                <w:bCs/>
              </w:rPr>
              <w:t>name</w:t>
            </w:r>
          </w:p>
        </w:tc>
        <w:tc>
          <w:tcPr>
            <w:tcW w:w="0" w:type="auto"/>
          </w:tcPr>
          <w:p w14:paraId="4556E334" w14:textId="77777777" w:rsidR="00F04A94" w:rsidRDefault="00DF6B0B">
            <w:pPr>
              <w:pStyle w:val="Compact"/>
            </w:pPr>
            <w:r>
              <w:t>Present</w:t>
            </w:r>
          </w:p>
        </w:tc>
        <w:tc>
          <w:tcPr>
            <w:tcW w:w="0" w:type="auto"/>
          </w:tcPr>
          <w:p w14:paraId="3157277F" w14:textId="77777777" w:rsidR="00F04A94" w:rsidRDefault="00DF6B0B">
            <w:pPr>
              <w:pStyle w:val="Compact"/>
            </w:pPr>
            <w:r>
              <w:rPr>
                <w:b/>
                <w:bCs/>
              </w:rPr>
              <w:t>Present</w:t>
            </w:r>
          </w:p>
        </w:tc>
        <w:tc>
          <w:tcPr>
            <w:tcW w:w="0" w:type="auto"/>
          </w:tcPr>
          <w:p w14:paraId="7792F24C" w14:textId="77777777" w:rsidR="00F04A94" w:rsidRDefault="00DF6B0B">
            <w:pPr>
              <w:pStyle w:val="Compact"/>
            </w:pPr>
            <w:r>
              <w:t>Yes — P-37</w:t>
            </w:r>
          </w:p>
        </w:tc>
      </w:tr>
      <w:tr w:rsidR="00F04A94" w14:paraId="469A1182" w14:textId="77777777">
        <w:tc>
          <w:tcPr>
            <w:tcW w:w="0" w:type="auto"/>
          </w:tcPr>
          <w:p w14:paraId="7F790E3C" w14:textId="77777777" w:rsidR="00F04A94" w:rsidRDefault="00DF6B0B">
            <w:pPr>
              <w:pStyle w:val="Compact"/>
            </w:pPr>
            <w:r>
              <w:t>5</w:t>
            </w:r>
          </w:p>
        </w:tc>
        <w:tc>
          <w:tcPr>
            <w:tcW w:w="0" w:type="auto"/>
          </w:tcPr>
          <w:p w14:paraId="6224040A" w14:textId="77777777" w:rsidR="00F04A94" w:rsidRDefault="00DF6B0B">
            <w:pPr>
              <w:pStyle w:val="Compact"/>
            </w:pPr>
            <w:r>
              <w:t>Band gaps at 90.00 / 89.99 / 80.00 / 70.00</w:t>
            </w:r>
          </w:p>
        </w:tc>
        <w:tc>
          <w:tcPr>
            <w:tcW w:w="0" w:type="auto"/>
          </w:tcPr>
          <w:p w14:paraId="1ABBD15F" w14:textId="77777777" w:rsidR="00F04A94" w:rsidRDefault="00DF6B0B">
            <w:pPr>
              <w:pStyle w:val="Compact"/>
            </w:pPr>
            <w:r>
              <w:t>Present</w:t>
            </w:r>
          </w:p>
        </w:tc>
        <w:tc>
          <w:tcPr>
            <w:tcW w:w="0" w:type="auto"/>
          </w:tcPr>
          <w:p w14:paraId="325BE5E8" w14:textId="77777777" w:rsidR="00F04A94" w:rsidRDefault="00DF6B0B">
            <w:pPr>
              <w:pStyle w:val="Compact"/>
            </w:pPr>
            <w:r>
              <w:rPr>
                <w:b/>
                <w:bCs/>
              </w:rPr>
              <w:t>Present</w:t>
            </w:r>
          </w:p>
        </w:tc>
        <w:tc>
          <w:tcPr>
            <w:tcW w:w="0" w:type="auto"/>
          </w:tcPr>
          <w:p w14:paraId="0A8FB832" w14:textId="77777777" w:rsidR="00F04A94" w:rsidRDefault="00DF6B0B">
            <w:pPr>
              <w:pStyle w:val="Compact"/>
            </w:pPr>
            <w:r>
              <w:t>Yes — P-34</w:t>
            </w:r>
          </w:p>
        </w:tc>
      </w:tr>
      <w:tr w:rsidR="00F04A94" w14:paraId="666A097A" w14:textId="77777777">
        <w:tc>
          <w:tcPr>
            <w:tcW w:w="0" w:type="auto"/>
          </w:tcPr>
          <w:p w14:paraId="1F9E7CAC" w14:textId="77777777" w:rsidR="00F04A94" w:rsidRDefault="00DF6B0B">
            <w:pPr>
              <w:pStyle w:val="Compact"/>
            </w:pPr>
            <w:r>
              <w:t>6</w:t>
            </w:r>
          </w:p>
        </w:tc>
        <w:tc>
          <w:tcPr>
            <w:tcW w:w="0" w:type="auto"/>
          </w:tcPr>
          <w:p w14:paraId="1E21A129" w14:textId="77777777" w:rsidR="00F04A94" w:rsidRDefault="00DF6B0B">
            <w:pPr>
              <w:pStyle w:val="Compact"/>
            </w:pPr>
            <w:r>
              <w:t>Subject counts top band only</w:t>
            </w:r>
          </w:p>
        </w:tc>
        <w:tc>
          <w:tcPr>
            <w:tcW w:w="0" w:type="auto"/>
          </w:tcPr>
          <w:p w14:paraId="0B307119" w14:textId="77777777" w:rsidR="00F04A94" w:rsidRDefault="00DF6B0B">
            <w:pPr>
              <w:pStyle w:val="Compact"/>
            </w:pPr>
            <w:r>
              <w:t>Present</w:t>
            </w:r>
          </w:p>
        </w:tc>
        <w:tc>
          <w:tcPr>
            <w:tcW w:w="0" w:type="auto"/>
          </w:tcPr>
          <w:p w14:paraId="5C6F7F55" w14:textId="77777777" w:rsidR="00F04A94" w:rsidRDefault="00DF6B0B">
            <w:pPr>
              <w:pStyle w:val="Compact"/>
            </w:pPr>
            <w:r>
              <w:rPr>
                <w:b/>
                <w:bCs/>
              </w:rPr>
              <w:t>Present</w:t>
            </w:r>
          </w:p>
        </w:tc>
        <w:tc>
          <w:tcPr>
            <w:tcW w:w="0" w:type="auto"/>
          </w:tcPr>
          <w:p w14:paraId="3C74C302" w14:textId="77777777" w:rsidR="00F04A94" w:rsidRDefault="00DF6B0B">
            <w:pPr>
              <w:pStyle w:val="Compact"/>
            </w:pPr>
            <w:r>
              <w:t>Yes — P-40</w:t>
            </w:r>
          </w:p>
        </w:tc>
      </w:tr>
      <w:tr w:rsidR="00F04A94" w14:paraId="0625A00D" w14:textId="77777777">
        <w:tc>
          <w:tcPr>
            <w:tcW w:w="0" w:type="auto"/>
          </w:tcPr>
          <w:p w14:paraId="0CFA80CA" w14:textId="77777777" w:rsidR="00F04A94" w:rsidRDefault="00DF6B0B">
            <w:pPr>
              <w:pStyle w:val="Compact"/>
            </w:pPr>
            <w:r>
              <w:t>7</w:t>
            </w:r>
          </w:p>
        </w:tc>
        <w:tc>
          <w:tcPr>
            <w:tcW w:w="0" w:type="auto"/>
          </w:tcPr>
          <w:p w14:paraId="012B7557" w14:textId="77777777" w:rsidR="00F04A94" w:rsidRDefault="00DF6B0B">
            <w:pPr>
              <w:pStyle w:val="Compact"/>
            </w:pPr>
            <w:r>
              <w:rPr>
                <w:rStyle w:val="VerbatimChar"/>
              </w:rPr>
              <w:t>result.html</w:t>
            </w:r>
            <w:r>
              <w:t xml:space="preserve"> appended without bound</w:t>
            </w:r>
          </w:p>
        </w:tc>
        <w:tc>
          <w:tcPr>
            <w:tcW w:w="0" w:type="auto"/>
          </w:tcPr>
          <w:p w14:paraId="7B4147AB" w14:textId="77777777" w:rsidR="00F04A94" w:rsidRDefault="00DF6B0B">
            <w:pPr>
              <w:pStyle w:val="Compact"/>
            </w:pPr>
            <w:r>
              <w:t>Present</w:t>
            </w:r>
          </w:p>
        </w:tc>
        <w:tc>
          <w:tcPr>
            <w:tcW w:w="0" w:type="auto"/>
          </w:tcPr>
          <w:p w14:paraId="12676CC0" w14:textId="77777777" w:rsidR="00F04A94" w:rsidRDefault="00DF6B0B">
            <w:pPr>
              <w:pStyle w:val="Compact"/>
            </w:pPr>
            <w:r>
              <w:rPr>
                <w:b/>
                <w:bCs/>
              </w:rPr>
              <w:t>Present</w:t>
            </w:r>
          </w:p>
        </w:tc>
        <w:tc>
          <w:tcPr>
            <w:tcW w:w="0" w:type="auto"/>
          </w:tcPr>
          <w:p w14:paraId="24C3C9E8" w14:textId="77777777" w:rsidR="00F04A94" w:rsidRDefault="00DF6B0B">
            <w:pPr>
              <w:pStyle w:val="Compact"/>
            </w:pPr>
            <w:r>
              <w:t>Yes — P-43</w:t>
            </w:r>
          </w:p>
        </w:tc>
      </w:tr>
      <w:tr w:rsidR="00F04A94" w14:paraId="16D15FF1" w14:textId="77777777">
        <w:tc>
          <w:tcPr>
            <w:tcW w:w="0" w:type="auto"/>
          </w:tcPr>
          <w:p w14:paraId="6C79D33C" w14:textId="77777777" w:rsidR="00F04A94" w:rsidRDefault="00DF6B0B">
            <w:pPr>
              <w:pStyle w:val="Compact"/>
            </w:pPr>
            <w:r>
              <w:t>8</w:t>
            </w:r>
          </w:p>
        </w:tc>
        <w:tc>
          <w:tcPr>
            <w:tcW w:w="0" w:type="auto"/>
          </w:tcPr>
          <w:p w14:paraId="18A98DB3" w14:textId="77777777" w:rsidR="00F04A94" w:rsidRDefault="00DF6B0B">
            <w:pPr>
              <w:pStyle w:val="Compact"/>
            </w:pPr>
            <w:r>
              <w:t>No stylesheet on the emailed report</w:t>
            </w:r>
          </w:p>
        </w:tc>
        <w:tc>
          <w:tcPr>
            <w:tcW w:w="0" w:type="auto"/>
          </w:tcPr>
          <w:p w14:paraId="3BADCAE5" w14:textId="77777777" w:rsidR="00F04A94" w:rsidRDefault="00DF6B0B">
            <w:pPr>
              <w:pStyle w:val="Compact"/>
            </w:pPr>
            <w:r>
              <w:t>Present</w:t>
            </w:r>
          </w:p>
        </w:tc>
        <w:tc>
          <w:tcPr>
            <w:tcW w:w="0" w:type="auto"/>
          </w:tcPr>
          <w:p w14:paraId="154D75E1" w14:textId="77777777" w:rsidR="00F04A94" w:rsidRDefault="00DF6B0B">
            <w:pPr>
              <w:pStyle w:val="Compact"/>
            </w:pPr>
            <w:r>
              <w:rPr>
                <w:b/>
                <w:bCs/>
              </w:rPr>
              <w:t>Fixed</w:t>
            </w:r>
            <w:r>
              <w:t xml:space="preserve"> — Outlook-safe inline styling</w:t>
            </w:r>
          </w:p>
        </w:tc>
        <w:tc>
          <w:tcPr>
            <w:tcW w:w="0" w:type="auto"/>
          </w:tcPr>
          <w:p w14:paraId="57B0058A" w14:textId="77777777" w:rsidR="00F04A94" w:rsidRDefault="00DF6B0B">
            <w:pPr>
              <w:pStyle w:val="Compact"/>
            </w:pPr>
            <w:r>
              <w:t xml:space="preserve">n/a — </w:t>
            </w:r>
            <w:r>
              <w:rPr>
                <w:b/>
                <w:bCs/>
              </w:rPr>
              <w:t>adopted from Gen 2</w:t>
            </w:r>
            <w:r>
              <w:t>, see P-39</w:t>
            </w:r>
          </w:p>
        </w:tc>
      </w:tr>
      <w:tr w:rsidR="00F04A94" w14:paraId="610E7755" w14:textId="77777777">
        <w:tc>
          <w:tcPr>
            <w:tcW w:w="0" w:type="auto"/>
          </w:tcPr>
          <w:p w14:paraId="795A6E19" w14:textId="77777777" w:rsidR="00F04A94" w:rsidRDefault="00DF6B0B">
            <w:pPr>
              <w:pStyle w:val="Compact"/>
            </w:pPr>
            <w:r>
              <w:t>9</w:t>
            </w:r>
          </w:p>
        </w:tc>
        <w:tc>
          <w:tcPr>
            <w:tcW w:w="0" w:type="auto"/>
          </w:tcPr>
          <w:p w14:paraId="1D3EB536" w14:textId="77777777" w:rsidR="00F04A94" w:rsidRDefault="00DF6B0B">
            <w:pPr>
              <w:pStyle w:val="Compact"/>
            </w:pPr>
            <w:r>
              <w:t>One unreadable datastore ends the sweep</w:t>
            </w:r>
          </w:p>
        </w:tc>
        <w:tc>
          <w:tcPr>
            <w:tcW w:w="0" w:type="auto"/>
          </w:tcPr>
          <w:p w14:paraId="09BAA379" w14:textId="77777777" w:rsidR="00F04A94" w:rsidRDefault="00DF6B0B">
            <w:pPr>
              <w:pStyle w:val="Compact"/>
            </w:pPr>
            <w:r>
              <w:t>Present</w:t>
            </w:r>
          </w:p>
        </w:tc>
        <w:tc>
          <w:tcPr>
            <w:tcW w:w="0" w:type="auto"/>
          </w:tcPr>
          <w:p w14:paraId="581E1E0A" w14:textId="77777777" w:rsidR="00F04A94" w:rsidRDefault="00DF6B0B">
            <w:pPr>
              <w:pStyle w:val="Compact"/>
            </w:pPr>
            <w:r>
              <w:rPr>
                <w:b/>
                <w:bCs/>
              </w:rPr>
              <w:t>Present</w:t>
            </w:r>
          </w:p>
        </w:tc>
        <w:tc>
          <w:tcPr>
            <w:tcW w:w="0" w:type="auto"/>
          </w:tcPr>
          <w:p w14:paraId="1673519B" w14:textId="77777777" w:rsidR="00F04A94" w:rsidRDefault="00DF6B0B">
            <w:pPr>
              <w:pStyle w:val="Compact"/>
            </w:pPr>
            <w:r>
              <w:t>Yes — P-35</w:t>
            </w:r>
          </w:p>
        </w:tc>
      </w:tr>
      <w:tr w:rsidR="00F04A94" w14:paraId="12BD2D29" w14:textId="77777777">
        <w:tc>
          <w:tcPr>
            <w:tcW w:w="0" w:type="auto"/>
          </w:tcPr>
          <w:p w14:paraId="0304D16C" w14:textId="77777777" w:rsidR="00F04A94" w:rsidRDefault="00DF6B0B">
            <w:pPr>
              <w:pStyle w:val="Compact"/>
            </w:pPr>
            <w:r>
              <w:t>10</w:t>
            </w:r>
          </w:p>
        </w:tc>
        <w:tc>
          <w:tcPr>
            <w:tcW w:w="0" w:type="auto"/>
          </w:tcPr>
          <w:p w14:paraId="6AE2D208" w14:textId="77777777" w:rsidR="00F04A94" w:rsidRDefault="00DF6B0B">
            <w:pPr>
              <w:pStyle w:val="Compact"/>
            </w:pPr>
            <w:r>
              <w:t>vCenter credentials</w:t>
            </w:r>
          </w:p>
        </w:tc>
        <w:tc>
          <w:tcPr>
            <w:tcW w:w="0" w:type="auto"/>
          </w:tcPr>
          <w:p w14:paraId="1AA066C9" w14:textId="77777777" w:rsidR="00F04A94" w:rsidRDefault="00DF6B0B">
            <w:pPr>
              <w:pStyle w:val="Compact"/>
            </w:pPr>
            <w:r>
              <w:t>PowerCLI ambient session</w:t>
            </w:r>
          </w:p>
        </w:tc>
        <w:tc>
          <w:tcPr>
            <w:tcW w:w="0" w:type="auto"/>
          </w:tcPr>
          <w:p w14:paraId="1693EA63" w14:textId="77777777" w:rsidR="00F04A94" w:rsidRDefault="00DF6B0B">
            <w:pPr>
              <w:pStyle w:val="Compact"/>
            </w:pPr>
            <w:r>
              <w:rPr>
                <w:b/>
                <w:bCs/>
              </w:rPr>
              <w:t>Improved</w:t>
            </w:r>
            <w:r>
              <w:t xml:space="preserve"> — Ansible Vault via environment</w:t>
            </w:r>
          </w:p>
        </w:tc>
        <w:tc>
          <w:tcPr>
            <w:tcW w:w="0" w:type="auto"/>
          </w:tcPr>
          <w:p w14:paraId="4393A8BD" w14:textId="77777777" w:rsidR="00F04A94" w:rsidRDefault="00DF6B0B">
            <w:pPr>
              <w:pStyle w:val="Compact"/>
            </w:pPr>
            <w:r>
              <w:t>Yes — P-33, credential removed entirely</w:t>
            </w:r>
          </w:p>
        </w:tc>
      </w:tr>
      <w:tr w:rsidR="00F04A94" w14:paraId="66CFE9CF" w14:textId="77777777">
        <w:tc>
          <w:tcPr>
            <w:tcW w:w="0" w:type="auto"/>
          </w:tcPr>
          <w:p w14:paraId="7E7A30D8" w14:textId="77777777" w:rsidR="00F04A94" w:rsidRDefault="00DF6B0B">
            <w:pPr>
              <w:pStyle w:val="Compact"/>
            </w:pPr>
            <w:r>
              <w:t>11</w:t>
            </w:r>
          </w:p>
        </w:tc>
        <w:tc>
          <w:tcPr>
            <w:tcW w:w="0" w:type="auto"/>
          </w:tcPr>
          <w:p w14:paraId="30B0BC17" w14:textId="77777777" w:rsidR="00F04A94" w:rsidRDefault="00DF6B0B">
            <w:pPr>
              <w:pStyle w:val="Compact"/>
            </w:pPr>
            <w:r>
              <w:rPr>
                <w:rStyle w:val="VerbatimChar"/>
              </w:rPr>
              <w:t>-InvalidCertificateAction Ignore</w:t>
            </w:r>
          </w:p>
        </w:tc>
        <w:tc>
          <w:tcPr>
            <w:tcW w:w="0" w:type="auto"/>
          </w:tcPr>
          <w:p w14:paraId="072C8E4F" w14:textId="77777777" w:rsidR="00F04A94" w:rsidRDefault="00DF6B0B">
            <w:pPr>
              <w:pStyle w:val="Compact"/>
            </w:pPr>
            <w:r>
              <w:t>n/a</w:t>
            </w:r>
          </w:p>
        </w:tc>
        <w:tc>
          <w:tcPr>
            <w:tcW w:w="0" w:type="auto"/>
          </w:tcPr>
          <w:p w14:paraId="535C18E8" w14:textId="77777777" w:rsidR="00F04A94" w:rsidRDefault="00DF6B0B">
            <w:pPr>
              <w:pStyle w:val="Compact"/>
            </w:pPr>
            <w:r>
              <w:rPr>
                <w:b/>
                <w:bCs/>
              </w:rPr>
              <w:t>Present</w:t>
            </w:r>
            <w:r>
              <w:t xml:space="preserve"> — vCenter certificate validation disabled</w:t>
            </w:r>
          </w:p>
        </w:tc>
        <w:tc>
          <w:tcPr>
            <w:tcW w:w="0" w:type="auto"/>
          </w:tcPr>
          <w:p w14:paraId="0F345C91" w14:textId="77777777" w:rsidR="00F04A94" w:rsidRDefault="00DF6B0B">
            <w:pPr>
              <w:pStyle w:val="Compact"/>
            </w:pPr>
            <w:r>
              <w:t>Yes — P-44</w:t>
            </w:r>
          </w:p>
        </w:tc>
      </w:tr>
    </w:tbl>
    <w:p w14:paraId="5149A0CF" w14:textId="77777777" w:rsidR="00F04A94" w:rsidRDefault="00DF6B0B">
      <w:pPr>
        <w:pStyle w:val="BodyText"/>
      </w:pPr>
      <w:r>
        <w:rPr>
          <w:b/>
          <w:bCs/>
        </w:rPr>
        <w:t>Gen 2's HTML formatter is better than the first revision of this deliverable was, and has been adopted rather than replaced.</w:t>
      </w:r>
      <w:r>
        <w:t xml:space="preserve"> </w:t>
      </w:r>
      <w:r>
        <w:rPr>
          <w:rStyle w:val="VerbatimChar"/>
        </w:rPr>
        <w:t>Format-DsTableHtml</w:t>
      </w:r>
      <w:r>
        <w:t xml:space="preserve"> uses inline styles plus legacy </w:t>
      </w:r>
      <w:r>
        <w:rPr>
          <w:rStyle w:val="VerbatimChar"/>
        </w:rPr>
        <w:t>bgcolor</w:t>
      </w:r>
      <w:r>
        <w:t xml:space="preserve"> attributes, with the comment </w:t>
      </w:r>
      <w:r>
        <w:rPr>
          <w:i/>
          <w:iCs/>
        </w:rPr>
        <w:t xml:space="preserve">"Outlook (Word render engine) ignores most </w:t>
      </w:r>
      <w:r>
        <w:rPr>
          <w:rStyle w:val="VerbatimChar"/>
          <w:i/>
          <w:iCs/>
        </w:rPr>
        <w:t>&lt;style&gt;</w:t>
      </w:r>
      <w:r>
        <w:rPr>
          <w:i/>
          <w:iCs/>
        </w:rPr>
        <w:t>-block CSS"</w:t>
      </w:r>
      <w:r>
        <w:t xml:space="preserve">. That is correct and it matters: this workflow's first revision used a </w:t>
      </w:r>
      <w:r>
        <w:rPr>
          <w:rStyle w:val="VerbatimChar"/>
        </w:rPr>
        <w:t>&lt;style&gt;</w:t>
      </w:r>
      <w:r>
        <w:t xml:space="preserve"> block and would have rendered as unstyled text in the client most recipients use. The vRO renderer now mirrors Gen 2's approach, keeps its </w:t>
      </w:r>
      <w:r>
        <w:t xml:space="preserve">accent colours, and the test suite asserts that no </w:t>
      </w:r>
      <w:r>
        <w:rPr>
          <w:rStyle w:val="VerbatimChar"/>
        </w:rPr>
        <w:t>&lt;style&gt;</w:t>
      </w:r>
      <w:r>
        <w:t xml:space="preserve"> block or </w:t>
      </w:r>
      <w:r>
        <w:rPr>
          <w:rStyle w:val="VerbatimChar"/>
        </w:rPr>
        <w:t>class</w:t>
      </w:r>
      <w:r>
        <w:t xml:space="preserve"> attribute can be reintroduced.</w:t>
      </w:r>
    </w:p>
    <w:p w14:paraId="10AB13A6" w14:textId="77777777" w:rsidR="00F04A94" w:rsidRDefault="00DF6B0B">
      <w:pPr>
        <w:pStyle w:val="Heading3"/>
      </w:pPr>
      <w:bookmarkStart w:id="8" w:name="Xdcd1afc49c86c20ecf911efc5d6d04983e0abc0"/>
      <w:bookmarkStart w:id="9" w:name="_Toc237519987"/>
      <w:bookmarkEnd w:id="6"/>
      <w:r>
        <w:t>1B. Two configuration observations for the customer</w:t>
      </w:r>
      <w:bookmarkEnd w:id="9"/>
    </w:p>
    <w:p w14:paraId="0E1D70BE" w14:textId="77777777" w:rsidR="00F04A94" w:rsidRDefault="00DF6B0B">
      <w:pPr>
        <w:pStyle w:val="FirstParagraph"/>
      </w:pPr>
      <w:r>
        <w:t>Neither is a defect. Both are worth a decision.</w:t>
      </w:r>
    </w:p>
    <w:p w14:paraId="1A7AEDA9" w14:textId="77777777" w:rsidR="00F04A94" w:rsidRDefault="00DF6B0B">
      <w:pPr>
        <w:pStyle w:val="Compact"/>
        <w:numPr>
          <w:ilvl w:val="0"/>
          <w:numId w:val="4"/>
        </w:numPr>
      </w:pPr>
      <w:r>
        <w:rPr>
          <w:rStyle w:val="VerbatimChar"/>
          <w:b/>
          <w:bCs/>
        </w:rPr>
        <w:t>$high = 90</w:t>
      </w:r>
      <w:r>
        <w:rPr>
          <w:b/>
          <w:bCs/>
        </w:rPr>
        <w:t>, with a comment saying it should be 95.</w:t>
      </w:r>
      <w:r>
        <w:t xml:space="preserve"> The line reads </w:t>
      </w:r>
      <w:r>
        <w:rPr>
          <w:rStyle w:val="VerbatimChar"/>
        </w:rPr>
        <w:t>$high = 90 # … value should be 95 (don't go below 20)</w:t>
      </w:r>
      <w:r>
        <w:t xml:space="preserve">. The code and the comment disagree. The transition preserves the </w:t>
      </w:r>
      <w:r>
        <w:rPr>
          <w:b/>
          <w:bCs/>
        </w:rPr>
        <w:t>behaviour</w:t>
      </w:r>
      <w:r>
        <w:t xml:space="preserve"> (90), and exposes it as the </w:t>
      </w:r>
      <w:r>
        <w:rPr>
          <w:rStyle w:val="VerbatimChar"/>
        </w:rPr>
        <w:t>thresholdHighPct</w:t>
      </w:r>
      <w:r>
        <w:t xml:space="preserve"> input so the decision can be made and changed without a code </w:t>
      </w:r>
      <w:r>
        <w:t>edit. Confirm which value is intended.</w:t>
      </w:r>
    </w:p>
    <w:p w14:paraId="78FC2E8E" w14:textId="77777777" w:rsidR="00F04A94" w:rsidRDefault="00DF6B0B">
      <w:pPr>
        <w:pStyle w:val="Compact"/>
        <w:numPr>
          <w:ilvl w:val="0"/>
          <w:numId w:val="4"/>
        </w:numPr>
      </w:pPr>
      <w:r>
        <w:rPr>
          <w:b/>
          <w:bCs/>
        </w:rPr>
        <w:t>The process is named for 75%, but the floor is 70%.</w:t>
      </w:r>
      <w:r>
        <w:t xml:space="preserve"> The job template, the playbook filename and this project folder all say "75 Percent Used"; the script collects everything above </w:t>
      </w:r>
      <w:r>
        <w:rPr>
          <w:rStyle w:val="VerbatimChar"/>
        </w:rPr>
        <w:t>$low</w:t>
      </w:r>
      <w:r>
        <w:t>, which is 70. The transition preserves 70 as the default reporting floor. Confirm whether 70 or 75 is intended.</w:t>
      </w:r>
    </w:p>
    <w:p w14:paraId="7D92E655" w14:textId="77777777" w:rsidR="00F04A94" w:rsidRDefault="00DF6B0B">
      <w:pPr>
        <w:pStyle w:val="Heading3"/>
      </w:pPr>
      <w:bookmarkStart w:id="10" w:name="X558650dee319608ba19b2f0016e629bde5c29b8"/>
      <w:bookmarkStart w:id="11" w:name="_Toc237519988"/>
      <w:bookmarkEnd w:id="8"/>
      <w:r>
        <w:t>1C. No shared PowerShell host, no shared script</w:t>
      </w:r>
      <w:bookmarkEnd w:id="11"/>
    </w:p>
    <w:p w14:paraId="079B48B0" w14:textId="77777777" w:rsidR="00F04A94" w:rsidRDefault="00DF6B0B">
      <w:pPr>
        <w:pStyle w:val="FirstParagraph"/>
      </w:pPr>
      <w:r>
        <w:t xml:space="preserve">Unlike the Active Directory deliverables in this programme, this transition removes </w:t>
      </w:r>
      <w:r>
        <w:t xml:space="preserve">the PowerShell host from the path entirely rather than re-pointing it. There is consequently </w:t>
      </w:r>
      <w:r>
        <w:rPr>
          <w:b/>
          <w:bCs/>
        </w:rPr>
        <w:t>no</w:t>
      </w:r>
      <w:r>
        <w:t xml:space="preserve"> deployment sequencing dependency, </w:t>
      </w:r>
      <w:r>
        <w:rPr>
          <w:b/>
          <w:bCs/>
        </w:rPr>
        <w:t>no</w:t>
      </w:r>
      <w:r>
        <w:t xml:space="preserve"> re-test exposure for the Event Log, Reboot, Clean Disks or Accounts packages, and </w:t>
      </w:r>
      <w:r>
        <w:rPr>
          <w:b/>
          <w:bCs/>
        </w:rPr>
        <w:t>no</w:t>
      </w:r>
      <w:r>
        <w:t xml:space="preserve"> promotion of </w:t>
      </w:r>
      <w:r>
        <w:rPr>
          <w:rStyle w:val="VerbatimChar"/>
        </w:rPr>
        <w:t>cvs_functions.ps1</w:t>
      </w:r>
      <w:r>
        <w:t xml:space="preserve"> triggered by this project. The </w:t>
      </w:r>
      <w:r>
        <w:rPr>
          <w:rStyle w:val="VerbatimChar"/>
        </w:rPr>
        <w:t>get_datastores_75_100_used</w:t>
      </w:r>
      <w:r>
        <w:t xml:space="preserve"> case is left in the shared script untouched and simply stops being called once the Ansible job template is retired.</w:t>
      </w:r>
    </w:p>
    <w:p w14:paraId="6B403A83" w14:textId="77777777" w:rsidR="00F04A94" w:rsidRDefault="00DF6B0B">
      <w:r>
        <w:pict w14:anchorId="25CA4B75">
          <v:rect id="_x0000_i1026" style="width:0;height:1.5pt" o:hralign="center" o:hrstd="t" o:hr="t"/>
        </w:pict>
      </w:r>
    </w:p>
    <w:p w14:paraId="1A11A4BC" w14:textId="77777777" w:rsidR="00F04A94" w:rsidRDefault="00DF6B0B">
      <w:pPr>
        <w:pStyle w:val="Heading2"/>
      </w:pPr>
      <w:bookmarkStart w:id="12" w:name="X8d364455c38106b630c0dd06ba8cca129ae291b"/>
      <w:bookmarkStart w:id="13" w:name="_Toc237519989"/>
      <w:bookmarkEnd w:id="2"/>
      <w:bookmarkEnd w:id="10"/>
      <w:r>
        <w:t>2. Target state — how it works after the transition</w:t>
      </w:r>
      <w:bookmarkEnd w:id="13"/>
    </w:p>
    <w:p w14:paraId="31E97E90" w14:textId="77777777" w:rsidR="00F04A94" w:rsidRDefault="00DF6B0B">
      <w:pPr>
        <w:pStyle w:val="FirstParagraph"/>
      </w:pPr>
      <w:r>
        <w:t xml:space="preserve">A single Orchestrator workflow, </w:t>
      </w:r>
      <w:r>
        <w:rPr>
          <w:b/>
          <w:bCs/>
        </w:rPr>
        <w:t>Get Datastore Capacity Report</w:t>
      </w:r>
      <w:r>
        <w:t xml:space="preserve">, in package </w:t>
      </w:r>
      <w:r>
        <w:rPr>
          <w:rStyle w:val="VerbatimChar"/>
        </w:rPr>
        <w:t>com.broadcom.pso.vc.storage.reporting</w:t>
      </w:r>
      <w:r>
        <w:t xml:space="preserve">. It reads </w:t>
      </w:r>
      <w:r>
        <w:rPr>
          <w:rStyle w:val="VerbatimChar"/>
        </w:rPr>
        <w:t>DatastoreSummary</w:t>
      </w:r>
      <w:r>
        <w:t xml:space="preserve"> from every registered vCenter through the vCenter plug-in, bands the results, renders an HTML report and emails it through the Mail plug-in.</w:t>
      </w:r>
    </w:p>
    <w:p w14:paraId="65A931FA" w14:textId="77777777" w:rsidR="00F04A94" w:rsidRDefault="00DF6B0B">
      <w:pPr>
        <w:pStyle w:val="BodyText"/>
      </w:pPr>
      <w:r>
        <w:rPr>
          <w:b/>
          <w:bCs/>
        </w:rPr>
        <w:t>The entire execution chain below the playbook disappears:</w:t>
      </w:r>
    </w:p>
    <w:tbl>
      <w:tblPr>
        <w:tblStyle w:val="Table"/>
        <w:tblW w:w="0" w:type="auto"/>
        <w:tblLook w:val="0020" w:firstRow="1" w:lastRow="0" w:firstColumn="0" w:lastColumn="0" w:noHBand="0" w:noVBand="0"/>
      </w:tblPr>
      <w:tblGrid>
        <w:gridCol w:w="4457"/>
        <w:gridCol w:w="5119"/>
      </w:tblGrid>
      <w:tr w:rsidR="00F04A94" w14:paraId="73B9A27B"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26EF3198" w14:textId="77777777" w:rsidR="00F04A94" w:rsidRDefault="00DF6B0B">
            <w:pPr>
              <w:pStyle w:val="Compact"/>
            </w:pPr>
            <w:r>
              <w:t>Retired</w:t>
            </w:r>
          </w:p>
        </w:tc>
        <w:tc>
          <w:tcPr>
            <w:tcW w:w="0" w:type="auto"/>
          </w:tcPr>
          <w:p w14:paraId="414E4BAA" w14:textId="77777777" w:rsidR="00F04A94" w:rsidRDefault="00DF6B0B">
            <w:pPr>
              <w:pStyle w:val="Compact"/>
            </w:pPr>
            <w:r>
              <w:t>Replaced by</w:t>
            </w:r>
          </w:p>
        </w:tc>
      </w:tr>
      <w:tr w:rsidR="00F04A94" w14:paraId="4EA7CB51" w14:textId="77777777">
        <w:tc>
          <w:tcPr>
            <w:tcW w:w="0" w:type="auto"/>
          </w:tcPr>
          <w:p w14:paraId="339B2DD6" w14:textId="77777777" w:rsidR="00F04A94" w:rsidRDefault="00DF6B0B">
            <w:pPr>
              <w:pStyle w:val="Compact"/>
            </w:pPr>
            <w:r>
              <w:t>WinRM 5986 session to a Windows host</w:t>
            </w:r>
          </w:p>
        </w:tc>
        <w:tc>
          <w:tcPr>
            <w:tcW w:w="0" w:type="auto"/>
          </w:tcPr>
          <w:p w14:paraId="633A4CF9" w14:textId="77777777" w:rsidR="00F04A94" w:rsidRDefault="00DF6B0B">
            <w:pPr>
              <w:pStyle w:val="Compact"/>
            </w:pPr>
            <w:r>
              <w:t>vCenter plug-in SDK connection</w:t>
            </w:r>
          </w:p>
        </w:tc>
      </w:tr>
      <w:tr w:rsidR="00F04A94" w14:paraId="4FFC78AB" w14:textId="77777777">
        <w:tc>
          <w:tcPr>
            <w:tcW w:w="0" w:type="auto"/>
          </w:tcPr>
          <w:p w14:paraId="162FBA9F" w14:textId="77777777" w:rsidR="00F04A94" w:rsidRDefault="00DF6B0B">
            <w:pPr>
              <w:pStyle w:val="Compact"/>
            </w:pPr>
            <w:r>
              <w:rPr>
                <w:rStyle w:val="VerbatimChar"/>
              </w:rPr>
              <w:t>win_tempfile</w:t>
            </w:r>
            <w:r>
              <w:t xml:space="preserve"> / </w:t>
            </w:r>
            <w:r>
              <w:rPr>
                <w:rStyle w:val="VerbatimChar"/>
              </w:rPr>
              <w:t>win_copy</w:t>
            </w:r>
            <w:r>
              <w:t xml:space="preserve"> staging of </w:t>
            </w:r>
            <w:r>
              <w:rPr>
                <w:rStyle w:val="VerbatimChar"/>
              </w:rPr>
              <w:t>cvs_functions.ps1</w:t>
            </w:r>
          </w:p>
        </w:tc>
        <w:tc>
          <w:tcPr>
            <w:tcW w:w="0" w:type="auto"/>
          </w:tcPr>
          <w:p w14:paraId="40171138" w14:textId="77777777" w:rsidR="00F04A94" w:rsidRDefault="00DF6B0B">
            <w:pPr>
              <w:pStyle w:val="Compact"/>
            </w:pPr>
            <w:r>
              <w:rPr>
                <w:i/>
                <w:iCs/>
              </w:rPr>
              <w:t>(nothing — no code is staged anywhere)</w:t>
            </w:r>
          </w:p>
        </w:tc>
      </w:tr>
      <w:tr w:rsidR="00F04A94" w14:paraId="773D7003" w14:textId="77777777">
        <w:tc>
          <w:tcPr>
            <w:tcW w:w="0" w:type="auto"/>
          </w:tcPr>
          <w:p w14:paraId="23AE2478" w14:textId="77777777" w:rsidR="00F04A94" w:rsidRDefault="00DF6B0B">
            <w:pPr>
              <w:pStyle w:val="Compact"/>
            </w:pPr>
            <w:r>
              <w:t xml:space="preserve">PowerCLI </w:t>
            </w:r>
            <w:r>
              <w:rPr>
                <w:rStyle w:val="VerbatimChar"/>
              </w:rPr>
              <w:t>VMware.VimAutomation.Core</w:t>
            </w:r>
            <w:r>
              <w:t xml:space="preserve"> on that host</w:t>
            </w:r>
          </w:p>
        </w:tc>
        <w:tc>
          <w:tcPr>
            <w:tcW w:w="0" w:type="auto"/>
          </w:tcPr>
          <w:p w14:paraId="6AB9DC18" w14:textId="77777777" w:rsidR="00F04A94" w:rsidRDefault="00DF6B0B">
            <w:pPr>
              <w:pStyle w:val="Compact"/>
            </w:pPr>
            <w:r>
              <w:rPr>
                <w:rStyle w:val="VerbatimChar"/>
              </w:rPr>
              <w:t>VcPlugin</w:t>
            </w:r>
            <w:r>
              <w:t xml:space="preserve"> / </w:t>
            </w:r>
            <w:r>
              <w:rPr>
                <w:rStyle w:val="VerbatimChar"/>
              </w:rPr>
              <w:t>VcSdkConnection</w:t>
            </w:r>
          </w:p>
        </w:tc>
      </w:tr>
      <w:tr w:rsidR="00F04A94" w14:paraId="4094AB82" w14:textId="77777777">
        <w:tc>
          <w:tcPr>
            <w:tcW w:w="0" w:type="auto"/>
          </w:tcPr>
          <w:p w14:paraId="0AFF277E" w14:textId="77777777" w:rsidR="00F04A94" w:rsidRDefault="00DF6B0B">
            <w:pPr>
              <w:pStyle w:val="Compact"/>
            </w:pPr>
            <w:r>
              <w:t xml:space="preserve">A </w:t>
            </w:r>
            <w:r>
              <w:rPr>
                <w:rStyle w:val="VerbatimChar"/>
              </w:rPr>
              <w:t>Connect-VIServer</w:t>
            </w:r>
            <w:r>
              <w:t xml:space="preserve"> credential per vCenter</w:t>
            </w:r>
          </w:p>
        </w:tc>
        <w:tc>
          <w:tcPr>
            <w:tcW w:w="0" w:type="auto"/>
          </w:tcPr>
          <w:p w14:paraId="799ABEBF" w14:textId="77777777" w:rsidR="00F04A94" w:rsidRDefault="00DF6B0B">
            <w:pPr>
              <w:pStyle w:val="Compact"/>
            </w:pPr>
            <w:r>
              <w:t>the vCenter endpoint credential already registered in Orchestrator</w:t>
            </w:r>
          </w:p>
        </w:tc>
      </w:tr>
      <w:tr w:rsidR="00F04A94" w14:paraId="2B01035A" w14:textId="77777777">
        <w:tc>
          <w:tcPr>
            <w:tcW w:w="0" w:type="auto"/>
          </w:tcPr>
          <w:p w14:paraId="22847976" w14:textId="77777777" w:rsidR="00F04A94" w:rsidRDefault="00DF6B0B">
            <w:pPr>
              <w:pStyle w:val="Compact"/>
            </w:pPr>
            <w:r>
              <w:rPr>
                <w:rStyle w:val="VerbatimChar"/>
              </w:rPr>
              <w:t>Send-MailMessage</w:t>
            </w:r>
            <w:r>
              <w:t xml:space="preserve"> on the Windows host</w:t>
            </w:r>
          </w:p>
        </w:tc>
        <w:tc>
          <w:tcPr>
            <w:tcW w:w="0" w:type="auto"/>
          </w:tcPr>
          <w:p w14:paraId="4F347889" w14:textId="77777777" w:rsidR="00F04A94" w:rsidRDefault="00DF6B0B">
            <w:pPr>
              <w:pStyle w:val="Compact"/>
            </w:pPr>
            <w:r>
              <w:t>Orchestrator Mail plug-in (</w:t>
            </w:r>
            <w:r>
              <w:rPr>
                <w:rStyle w:val="VerbatimChar"/>
              </w:rPr>
              <w:t>EmailMessage</w:t>
            </w:r>
            <w:r>
              <w:t>)</w:t>
            </w:r>
          </w:p>
        </w:tc>
      </w:tr>
      <w:tr w:rsidR="00F04A94" w14:paraId="2888B602" w14:textId="77777777">
        <w:tc>
          <w:tcPr>
            <w:tcW w:w="0" w:type="auto"/>
          </w:tcPr>
          <w:p w14:paraId="60EA5688" w14:textId="77777777" w:rsidR="00F04A94" w:rsidRDefault="00DF6B0B">
            <w:pPr>
              <w:pStyle w:val="Compact"/>
            </w:pPr>
            <w:r>
              <w:rPr>
                <w:rStyle w:val="VerbatimChar"/>
              </w:rPr>
              <w:t>var_vCenterList</w:t>
            </w:r>
            <w:r>
              <w:t xml:space="preserve"> — a hardcoded hostname string</w:t>
            </w:r>
          </w:p>
        </w:tc>
        <w:tc>
          <w:tcPr>
            <w:tcW w:w="0" w:type="auto"/>
          </w:tcPr>
          <w:p w14:paraId="19067A26" w14:textId="77777777" w:rsidR="00F04A94" w:rsidRDefault="00DF6B0B">
            <w:pPr>
              <w:pStyle w:val="Compact"/>
            </w:pPr>
            <w:r>
              <w:rPr>
                <w:rStyle w:val="VerbatimChar"/>
              </w:rPr>
              <w:t>VcPlugin.allSdkConnections</w:t>
            </w:r>
          </w:p>
        </w:tc>
      </w:tr>
      <w:tr w:rsidR="00F04A94" w14:paraId="284FBC90" w14:textId="77777777">
        <w:tc>
          <w:tcPr>
            <w:tcW w:w="0" w:type="auto"/>
          </w:tcPr>
          <w:p w14:paraId="1FBB3907" w14:textId="77777777" w:rsidR="00F04A94" w:rsidRDefault="00DF6B0B">
            <w:pPr>
              <w:pStyle w:val="Compact"/>
            </w:pPr>
            <w:r>
              <w:rPr>
                <w:rStyle w:val="VerbatimChar"/>
              </w:rPr>
              <w:t>Debug\result.html</w:t>
            </w:r>
            <w:r>
              <w:t xml:space="preserve"> on the Windows host</w:t>
            </w:r>
          </w:p>
        </w:tc>
        <w:tc>
          <w:tcPr>
            <w:tcW w:w="0" w:type="auto"/>
          </w:tcPr>
          <w:p w14:paraId="6C879443" w14:textId="77777777" w:rsidR="00F04A94" w:rsidRDefault="00DF6B0B">
            <w:pPr>
              <w:pStyle w:val="Compact"/>
            </w:pPr>
            <w:r>
              <w:rPr>
                <w:rStyle w:val="VerbatimChar"/>
              </w:rPr>
              <w:t>reportHtml</w:t>
            </w:r>
            <w:r>
              <w:t xml:space="preserve"> workflow output</w:t>
            </w:r>
          </w:p>
        </w:tc>
      </w:tr>
    </w:tbl>
    <w:p w14:paraId="16019B49" w14:textId="77777777" w:rsidR="00F04A94" w:rsidRDefault="00DF6B0B">
      <w:pPr>
        <w:pStyle w:val="BodyText"/>
      </w:pPr>
      <w:r>
        <w:rPr>
          <w:b/>
          <w:bCs/>
        </w:rPr>
        <w:t>What that buys the customer, stated plainly:</w:t>
      </w:r>
      <w:r>
        <w:t xml:space="preserve"> no Windows host in the path of this </w:t>
      </w:r>
      <w:r>
        <w:t>report; no PowerCLI version to keep current on it; no second set of vCenter credentials stored outside Orchestrator; no Kerberos second-hop requirement; and no vCenter list to edit when a vCenter is commissioned or retired — an unlisted vCenter becomes impossible rather than merely unlikely.</w:t>
      </w:r>
    </w:p>
    <w:p w14:paraId="56AEF11F" w14:textId="77777777" w:rsidR="00F04A94" w:rsidRDefault="00DF6B0B">
      <w:pPr>
        <w:pStyle w:val="BodyText"/>
      </w:pPr>
      <w:r>
        <w:rPr>
          <w:b/>
          <w:bCs/>
        </w:rPr>
        <w:t>Read-only.</w:t>
      </w:r>
      <w:r>
        <w:t xml:space="preserve"> The workflow issues no write of any kind against vCenter. It reads </w:t>
      </w:r>
      <w:r>
        <w:rPr>
          <w:rStyle w:val="VerbatimChar"/>
        </w:rPr>
        <w:t>DatastoreSummary</w:t>
      </w:r>
      <w:r>
        <w:t xml:space="preserve"> and nothing else. There is therefore no </w:t>
      </w:r>
      <w:r>
        <w:rPr>
          <w:rStyle w:val="VerbatimChar"/>
        </w:rPr>
        <w:t>whatIf</w:t>
      </w:r>
      <w:r>
        <w:t xml:space="preserve"> safety gate, for </w:t>
      </w:r>
      <w:r>
        <w:t>the same reason the Service Account Expiration report has none: there is nothing to gate.</w:t>
      </w:r>
    </w:p>
    <w:p w14:paraId="1065158C" w14:textId="77777777" w:rsidR="00F04A94" w:rsidRDefault="00DF6B0B">
      <w:r>
        <w:pict w14:anchorId="5CBD98E0">
          <v:rect id="_x0000_i1027" style="width:0;height:1.5pt" o:hralign="center" o:hrstd="t" o:hr="t"/>
        </w:pict>
      </w:r>
    </w:p>
    <w:p w14:paraId="10F842D3" w14:textId="77777777" w:rsidR="00F04A94" w:rsidRDefault="00DF6B0B">
      <w:pPr>
        <w:pStyle w:val="Heading2"/>
      </w:pPr>
      <w:bookmarkStart w:id="14" w:name="X6aa149fd2f049e049467e89b45b2ce186bc5b32"/>
      <w:bookmarkStart w:id="15" w:name="_Toc237519990"/>
      <w:bookmarkEnd w:id="12"/>
      <w:r>
        <w:t>3. Process changes (P-series)</w:t>
      </w:r>
      <w:bookmarkEnd w:id="15"/>
    </w:p>
    <w:tbl>
      <w:tblPr>
        <w:tblStyle w:val="Table"/>
        <w:tblW w:w="0" w:type="auto"/>
        <w:tblLook w:val="0020" w:firstRow="1" w:lastRow="0" w:firstColumn="0" w:lastColumn="0" w:noHBand="0" w:noVBand="0"/>
      </w:tblPr>
      <w:tblGrid>
        <w:gridCol w:w="452"/>
        <w:gridCol w:w="763"/>
        <w:gridCol w:w="1456"/>
        <w:gridCol w:w="5186"/>
        <w:gridCol w:w="1719"/>
      </w:tblGrid>
      <w:tr w:rsidR="00F04A94" w14:paraId="09AD4DDA"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1F285D84" w14:textId="77777777" w:rsidR="00F04A94" w:rsidRDefault="00DF6B0B">
            <w:pPr>
              <w:pStyle w:val="Compact"/>
            </w:pPr>
            <w:r>
              <w:t>#</w:t>
            </w:r>
          </w:p>
        </w:tc>
        <w:tc>
          <w:tcPr>
            <w:tcW w:w="0" w:type="auto"/>
          </w:tcPr>
          <w:p w14:paraId="6A9841A7" w14:textId="77777777" w:rsidR="00F04A94" w:rsidRDefault="00DF6B0B">
            <w:pPr>
              <w:pStyle w:val="Compact"/>
            </w:pPr>
            <w:r>
              <w:t>Date</w:t>
            </w:r>
          </w:p>
        </w:tc>
        <w:tc>
          <w:tcPr>
            <w:tcW w:w="0" w:type="auto"/>
          </w:tcPr>
          <w:p w14:paraId="6E1BA66A" w14:textId="77777777" w:rsidR="00F04A94" w:rsidRDefault="00DF6B0B">
            <w:pPr>
              <w:pStyle w:val="Compact"/>
            </w:pPr>
            <w:r>
              <w:t>Area</w:t>
            </w:r>
          </w:p>
        </w:tc>
        <w:tc>
          <w:tcPr>
            <w:tcW w:w="0" w:type="auto"/>
          </w:tcPr>
          <w:p w14:paraId="35CC2F4A" w14:textId="77777777" w:rsidR="00F04A94" w:rsidRDefault="00DF6B0B">
            <w:pPr>
              <w:pStyle w:val="Compact"/>
            </w:pPr>
            <w:r>
              <w:t>Change</w:t>
            </w:r>
          </w:p>
        </w:tc>
        <w:tc>
          <w:tcPr>
            <w:tcW w:w="0" w:type="auto"/>
          </w:tcPr>
          <w:p w14:paraId="753EEA3E" w14:textId="77777777" w:rsidR="00F04A94" w:rsidRDefault="00DF6B0B">
            <w:pPr>
              <w:pStyle w:val="Compact"/>
            </w:pPr>
            <w:r>
              <w:t>Type</w:t>
            </w:r>
          </w:p>
        </w:tc>
      </w:tr>
      <w:tr w:rsidR="00F04A94" w14:paraId="47BC6E8A" w14:textId="77777777">
        <w:tc>
          <w:tcPr>
            <w:tcW w:w="0" w:type="auto"/>
          </w:tcPr>
          <w:p w14:paraId="58906B73" w14:textId="77777777" w:rsidR="00F04A94" w:rsidRDefault="00DF6B0B">
            <w:pPr>
              <w:pStyle w:val="Compact"/>
            </w:pPr>
            <w:r>
              <w:rPr>
                <w:b/>
                <w:bCs/>
              </w:rPr>
              <w:t>P-33</w:t>
            </w:r>
          </w:p>
        </w:tc>
        <w:tc>
          <w:tcPr>
            <w:tcW w:w="0" w:type="auto"/>
          </w:tcPr>
          <w:p w14:paraId="37771104" w14:textId="77777777" w:rsidR="00F04A94" w:rsidRDefault="00DF6B0B">
            <w:pPr>
              <w:pStyle w:val="Compact"/>
            </w:pPr>
            <w:r>
              <w:t>2026-08-10</w:t>
            </w:r>
          </w:p>
        </w:tc>
        <w:tc>
          <w:tcPr>
            <w:tcW w:w="0" w:type="auto"/>
          </w:tcPr>
          <w:p w14:paraId="6DD4920E" w14:textId="77777777" w:rsidR="00F04A94" w:rsidRDefault="00DF6B0B">
            <w:pPr>
              <w:pStyle w:val="Compact"/>
            </w:pPr>
            <w:r>
              <w:t>Execution engine &amp; targeting</w:t>
            </w:r>
          </w:p>
        </w:tc>
        <w:tc>
          <w:tcPr>
            <w:tcW w:w="0" w:type="auto"/>
          </w:tcPr>
          <w:p w14:paraId="0EF4077E" w14:textId="77777777" w:rsidR="00F04A94" w:rsidRDefault="00DF6B0B">
            <w:pPr>
              <w:pStyle w:val="Compact"/>
            </w:pPr>
            <w:r>
              <w:rPr>
                <w:rStyle w:val="VerbatimChar"/>
              </w:rPr>
              <w:t>get_datastores_75_100_used.yml</w:t>
            </w:r>
            <w:r>
              <w:t xml:space="preserve"> (stage + run PowerCLI over WinRM) → a vCenter-plug-in-native Orchestrator workflow. The hardcoded five-vCenter string is replaced by the vCenters registered in Orchestrator; an explicit </w:t>
            </w:r>
            <w:r>
              <w:rPr>
                <w:rStyle w:val="VerbatimChar"/>
              </w:rPr>
              <w:t>vCenterConnections</w:t>
            </w:r>
            <w:r>
              <w:t xml:space="preserve"> input narrows a run when needed. </w:t>
            </w:r>
            <w:r>
              <w:rPr>
                <w:b/>
                <w:bCs/>
              </w:rPr>
              <w:t>No PowerShell host, no PowerCLI, no WinRM, no separate vCenter credential.</w:t>
            </w:r>
          </w:p>
        </w:tc>
        <w:tc>
          <w:tcPr>
            <w:tcW w:w="0" w:type="auto"/>
          </w:tcPr>
          <w:p w14:paraId="42D02F89" w14:textId="77777777" w:rsidR="00F04A94" w:rsidRDefault="00DF6B0B">
            <w:pPr>
              <w:pStyle w:val="Compact"/>
            </w:pPr>
            <w:r>
              <w:t>Architecture</w:t>
            </w:r>
          </w:p>
        </w:tc>
      </w:tr>
      <w:tr w:rsidR="00F04A94" w14:paraId="2DBAC903" w14:textId="77777777">
        <w:tc>
          <w:tcPr>
            <w:tcW w:w="0" w:type="auto"/>
          </w:tcPr>
          <w:p w14:paraId="22E980D2" w14:textId="77777777" w:rsidR="00F04A94" w:rsidRDefault="00DF6B0B">
            <w:pPr>
              <w:pStyle w:val="Compact"/>
            </w:pPr>
            <w:r>
              <w:rPr>
                <w:b/>
                <w:bCs/>
              </w:rPr>
              <w:t>P-34</w:t>
            </w:r>
          </w:p>
        </w:tc>
        <w:tc>
          <w:tcPr>
            <w:tcW w:w="0" w:type="auto"/>
          </w:tcPr>
          <w:p w14:paraId="72FFC636" w14:textId="77777777" w:rsidR="00F04A94" w:rsidRDefault="00DF6B0B">
            <w:pPr>
              <w:pStyle w:val="Compact"/>
            </w:pPr>
            <w:r>
              <w:t>2026-08-10</w:t>
            </w:r>
          </w:p>
        </w:tc>
        <w:tc>
          <w:tcPr>
            <w:tcW w:w="0" w:type="auto"/>
          </w:tcPr>
          <w:p w14:paraId="59640239" w14:textId="77777777" w:rsidR="00F04A94" w:rsidRDefault="00DF6B0B">
            <w:pPr>
              <w:pStyle w:val="Compact"/>
            </w:pPr>
            <w:r>
              <w:t>Banding</w:t>
            </w:r>
          </w:p>
        </w:tc>
        <w:tc>
          <w:tcPr>
            <w:tcW w:w="0" w:type="auto"/>
          </w:tcPr>
          <w:p w14:paraId="6CB6213E" w14:textId="77777777" w:rsidR="00F04A94" w:rsidRDefault="00DF6B0B">
            <w:pPr>
              <w:pStyle w:val="Compact"/>
            </w:pPr>
            <w:r>
              <w:t xml:space="preserve">Bands are </w:t>
            </w:r>
            <w:r>
              <w:rPr>
                <w:b/>
                <w:bCs/>
              </w:rPr>
              <w:t>half-open and gapless</w:t>
            </w:r>
            <w:r>
              <w:t xml:space="preserve"> — </w:t>
            </w:r>
            <w:r>
              <w:rPr>
                <w:rStyle w:val="VerbatimChar"/>
              </w:rPr>
              <w:t>[floor, ceiling)</w:t>
            </w:r>
            <w:r>
              <w:t xml:space="preserve"> — so every value from the reporting floor to 100% lands in exactly one band, and a boundary value lands in the more severe one. Replaces the </w:t>
            </w:r>
            <w:r>
              <w:rPr>
                <w:rStyle w:val="VerbatimChar"/>
              </w:rPr>
              <w:t>-gt</w:t>
            </w:r>
            <w:r>
              <w:t xml:space="preserve"> / </w:t>
            </w:r>
            <w:r>
              <w:rPr>
                <w:rStyle w:val="VerbatimChar"/>
              </w:rPr>
              <w:t>-lt x.99</w:t>
            </w:r>
            <w:r>
              <w:t xml:space="preserve"> comparisons that left four exact values and two ranges unreported.</w:t>
            </w:r>
          </w:p>
        </w:tc>
        <w:tc>
          <w:tcPr>
            <w:tcW w:w="0" w:type="auto"/>
          </w:tcPr>
          <w:p w14:paraId="22262DE1" w14:textId="77777777" w:rsidR="00F04A94" w:rsidRDefault="00DF6B0B">
            <w:pPr>
              <w:pStyle w:val="Compact"/>
            </w:pPr>
            <w:r>
              <w:rPr>
                <w:b/>
                <w:bCs/>
              </w:rPr>
              <w:t>Defect (silent omission)</w:t>
            </w:r>
          </w:p>
        </w:tc>
      </w:tr>
      <w:tr w:rsidR="00F04A94" w14:paraId="6F8C3BB4" w14:textId="77777777">
        <w:tc>
          <w:tcPr>
            <w:tcW w:w="0" w:type="auto"/>
          </w:tcPr>
          <w:p w14:paraId="71BE3B5F" w14:textId="77777777" w:rsidR="00F04A94" w:rsidRDefault="00DF6B0B">
            <w:pPr>
              <w:pStyle w:val="Compact"/>
            </w:pPr>
            <w:r>
              <w:rPr>
                <w:b/>
                <w:bCs/>
              </w:rPr>
              <w:t>P-35</w:t>
            </w:r>
          </w:p>
        </w:tc>
        <w:tc>
          <w:tcPr>
            <w:tcW w:w="0" w:type="auto"/>
          </w:tcPr>
          <w:p w14:paraId="29F8B010" w14:textId="77777777" w:rsidR="00F04A94" w:rsidRDefault="00DF6B0B">
            <w:pPr>
              <w:pStyle w:val="Compact"/>
            </w:pPr>
            <w:r>
              <w:t>2026-08-10</w:t>
            </w:r>
          </w:p>
        </w:tc>
        <w:tc>
          <w:tcPr>
            <w:tcW w:w="0" w:type="auto"/>
          </w:tcPr>
          <w:p w14:paraId="448715BA" w14:textId="77777777" w:rsidR="00F04A94" w:rsidRDefault="00DF6B0B">
            <w:pPr>
              <w:pStyle w:val="Compact"/>
            </w:pPr>
            <w:r>
              <w:t>Resilience</w:t>
            </w:r>
          </w:p>
        </w:tc>
        <w:tc>
          <w:tcPr>
            <w:tcW w:w="0" w:type="auto"/>
          </w:tcPr>
          <w:p w14:paraId="0D595817" w14:textId="77777777" w:rsidR="00F04A94" w:rsidRDefault="00DF6B0B">
            <w:pPr>
              <w:pStyle w:val="Compact"/>
            </w:pPr>
            <w:r>
              <w:t>Three levels of isolation. Per-</w:t>
            </w:r>
            <w:r>
              <w:rPr>
                <w:b/>
                <w:bCs/>
              </w:rPr>
              <w:t>vCenter</w:t>
            </w:r>
            <w:r>
              <w:t xml:space="preserve"> </w:t>
            </w:r>
            <w:r>
              <w:rPr>
                <w:rStyle w:val="VerbatimChar"/>
              </w:rPr>
              <w:t>try</w:t>
            </w:r>
            <w:r>
              <w:t>/</w:t>
            </w:r>
            <w:r>
              <w:rPr>
                <w:rStyle w:val="VerbatimChar"/>
              </w:rPr>
              <w:t>catch</w:t>
            </w:r>
            <w:r>
              <w:t xml:space="preserve"> </w:t>
            </w:r>
            <w:r>
              <w:t xml:space="preserve">— this catches </w:t>
            </w:r>
            <w:r>
              <w:rPr>
                <w:b/>
                <w:bCs/>
              </w:rPr>
              <w:t>authentication and certificate failures, not just unreachability</w:t>
            </w:r>
            <w:r>
              <w:t xml:space="preserve">, which is the gap Gen 2's TCP/443 preflight leaves open. A </w:t>
            </w:r>
            <w:r>
              <w:rPr>
                <w:b/>
                <w:bCs/>
              </w:rPr>
              <w:t>zero-capacity guard</w:t>
            </w:r>
            <w:r>
              <w:t xml:space="preserve"> (Gen 2 already has the equivalent). Per-</w:t>
            </w:r>
            <w:r>
              <w:rPr>
                <w:b/>
                <w:bCs/>
              </w:rPr>
              <w:t>datastore</w:t>
            </w:r>
            <w:r>
              <w:t xml:space="preserve"> </w:t>
            </w:r>
            <w:r>
              <w:rPr>
                <w:rStyle w:val="VerbatimChar"/>
              </w:rPr>
              <w:t>try</w:t>
            </w:r>
            <w:r>
              <w:t>/</w:t>
            </w:r>
            <w:r>
              <w:rPr>
                <w:rStyle w:val="VerbatimChar"/>
              </w:rPr>
              <w:t>catch</w:t>
            </w:r>
            <w:r>
              <w:t xml:space="preserve"> so one unreadable volume cannot cost the other four hundred — still absent in both generations.</w:t>
            </w:r>
          </w:p>
        </w:tc>
        <w:tc>
          <w:tcPr>
            <w:tcW w:w="0" w:type="auto"/>
          </w:tcPr>
          <w:p w14:paraId="379523D4" w14:textId="77777777" w:rsidR="00F04A94" w:rsidRDefault="00DF6B0B">
            <w:pPr>
              <w:pStyle w:val="Compact"/>
            </w:pPr>
            <w:r>
              <w:rPr>
                <w:b/>
                <w:bCs/>
              </w:rPr>
              <w:t>Defect (total failure)</w:t>
            </w:r>
          </w:p>
        </w:tc>
      </w:tr>
      <w:tr w:rsidR="00F04A94" w14:paraId="73B38C4C" w14:textId="77777777">
        <w:tc>
          <w:tcPr>
            <w:tcW w:w="0" w:type="auto"/>
          </w:tcPr>
          <w:p w14:paraId="71DB515D" w14:textId="77777777" w:rsidR="00F04A94" w:rsidRDefault="00DF6B0B">
            <w:pPr>
              <w:pStyle w:val="Compact"/>
            </w:pPr>
            <w:r>
              <w:rPr>
                <w:b/>
                <w:bCs/>
              </w:rPr>
              <w:t>P-36</w:t>
            </w:r>
          </w:p>
        </w:tc>
        <w:tc>
          <w:tcPr>
            <w:tcW w:w="0" w:type="auto"/>
          </w:tcPr>
          <w:p w14:paraId="05CD490F" w14:textId="77777777" w:rsidR="00F04A94" w:rsidRDefault="00DF6B0B">
            <w:pPr>
              <w:pStyle w:val="Compact"/>
            </w:pPr>
            <w:r>
              <w:t>2026-08-10</w:t>
            </w:r>
          </w:p>
        </w:tc>
        <w:tc>
          <w:tcPr>
            <w:tcW w:w="0" w:type="auto"/>
          </w:tcPr>
          <w:p w14:paraId="2F788A0F" w14:textId="77777777" w:rsidR="00F04A94" w:rsidRDefault="00DF6B0B">
            <w:pPr>
              <w:pStyle w:val="Compact"/>
            </w:pPr>
            <w:r>
              <w:t>Report scope</w:t>
            </w:r>
          </w:p>
        </w:tc>
        <w:tc>
          <w:tcPr>
            <w:tcW w:w="0" w:type="auto"/>
          </w:tcPr>
          <w:p w14:paraId="3E553179" w14:textId="77777777" w:rsidR="00F04A94" w:rsidRDefault="00DF6B0B">
            <w:pPr>
              <w:pStyle w:val="Compact"/>
            </w:pPr>
            <w:r>
              <w:t xml:space="preserve">The </w:t>
            </w:r>
            <w:r>
              <w:rPr>
                <w:rStyle w:val="VerbatimChar"/>
              </w:rPr>
              <w:t>uncommitted &gt; freeSpace</w:t>
            </w:r>
            <w:r>
              <w:t xml:space="preserve"> </w:t>
            </w:r>
            <w:r>
              <w:rPr>
                <w:b/>
                <w:bCs/>
              </w:rPr>
              <w:t>AND condition is removed from collection</w:t>
            </w:r>
            <w:r>
              <w:t xml:space="preserve">. Every datastore at or above the floor is reported, and the original condition is carried as an </w:t>
            </w:r>
            <w:r>
              <w:rPr>
                <w:rStyle w:val="VerbatimChar"/>
                <w:b/>
                <w:bCs/>
              </w:rPr>
              <w:t>Overcommitted</w:t>
            </w:r>
            <w:r>
              <w:rPr>
                <w:b/>
                <w:bCs/>
              </w:rPr>
              <w:t xml:space="preserve"> column</w:t>
            </w:r>
            <w:r>
              <w:t xml:space="preserve">. Where vCenter publishes no uncommitted value the column reads </w:t>
            </w:r>
            <w:r>
              <w:rPr>
                <w:rStyle w:val="VerbatimChar"/>
              </w:rPr>
              <w:t>unknown</w:t>
            </w:r>
            <w:r>
              <w:t xml:space="preserve"> rather than asserting </w:t>
            </w:r>
            <w:r>
              <w:rPr>
                <w:rStyle w:val="VerbatimChar"/>
              </w:rPr>
              <w:t>No</w:t>
            </w:r>
            <w:r>
              <w:t>.</w:t>
            </w:r>
          </w:p>
        </w:tc>
        <w:tc>
          <w:tcPr>
            <w:tcW w:w="0" w:type="auto"/>
          </w:tcPr>
          <w:p w14:paraId="6557C87F" w14:textId="77777777" w:rsidR="00F04A94" w:rsidRDefault="00DF6B0B">
            <w:pPr>
              <w:pStyle w:val="Compact"/>
            </w:pPr>
            <w:r>
              <w:rPr>
                <w:b/>
                <w:bCs/>
              </w:rPr>
              <w:t>Defect (silent omission)</w:t>
            </w:r>
            <w:r>
              <w:t xml:space="preserve"> — </w:t>
            </w:r>
            <w:r>
              <w:rPr>
                <w:i/>
                <w:iCs/>
              </w:rPr>
              <w:t>changes what the customer sees</w:t>
            </w:r>
          </w:p>
        </w:tc>
      </w:tr>
      <w:tr w:rsidR="00F04A94" w14:paraId="2D7CBDD1" w14:textId="77777777">
        <w:tc>
          <w:tcPr>
            <w:tcW w:w="0" w:type="auto"/>
          </w:tcPr>
          <w:p w14:paraId="4A1A297C" w14:textId="77777777" w:rsidR="00F04A94" w:rsidRDefault="00DF6B0B">
            <w:pPr>
              <w:pStyle w:val="Compact"/>
            </w:pPr>
            <w:r>
              <w:rPr>
                <w:b/>
                <w:bCs/>
              </w:rPr>
              <w:t>P-37</w:t>
            </w:r>
          </w:p>
        </w:tc>
        <w:tc>
          <w:tcPr>
            <w:tcW w:w="0" w:type="auto"/>
          </w:tcPr>
          <w:p w14:paraId="68B646D9" w14:textId="77777777" w:rsidR="00F04A94" w:rsidRDefault="00DF6B0B">
            <w:pPr>
              <w:pStyle w:val="Compact"/>
            </w:pPr>
            <w:r>
              <w:t>2026-08-10</w:t>
            </w:r>
          </w:p>
        </w:tc>
        <w:tc>
          <w:tcPr>
            <w:tcW w:w="0" w:type="auto"/>
          </w:tcPr>
          <w:p w14:paraId="33C8D3A4" w14:textId="77777777" w:rsidR="00F04A94" w:rsidRDefault="00DF6B0B">
            <w:pPr>
              <w:pStyle w:val="Compact"/>
            </w:pPr>
            <w:r>
              <w:t>De-duplication</w:t>
            </w:r>
          </w:p>
        </w:tc>
        <w:tc>
          <w:tcPr>
            <w:tcW w:w="0" w:type="auto"/>
          </w:tcPr>
          <w:p w14:paraId="3A6C0821" w14:textId="77777777" w:rsidR="00F04A94" w:rsidRDefault="00DF6B0B">
            <w:pPr>
              <w:pStyle w:val="Compact"/>
            </w:pPr>
            <w:r>
              <w:rPr>
                <w:rStyle w:val="VerbatimChar"/>
              </w:rPr>
              <w:t>Sort-Object -Property Datastore -Unique</w:t>
            </w:r>
            <w:r>
              <w:t xml:space="preserve"> removed. Row identity is </w:t>
            </w:r>
            <w:r>
              <w:rPr>
                <w:b/>
                <w:bCs/>
              </w:rPr>
              <w:t>vCenter + MoRef</w:t>
            </w:r>
            <w:r>
              <w:t>, never the display name, so identically named datastores on different vCenters both appear. A genuine duplicate identity within one vCenter is logged.</w:t>
            </w:r>
          </w:p>
        </w:tc>
        <w:tc>
          <w:tcPr>
            <w:tcW w:w="0" w:type="auto"/>
          </w:tcPr>
          <w:p w14:paraId="5D80B3C0" w14:textId="77777777" w:rsidR="00F04A94" w:rsidRDefault="00DF6B0B">
            <w:pPr>
              <w:pStyle w:val="Compact"/>
            </w:pPr>
            <w:r>
              <w:rPr>
                <w:b/>
                <w:bCs/>
              </w:rPr>
              <w:t>Defect (silent omission)</w:t>
            </w:r>
            <w:r>
              <w:t xml:space="preserve"> — </w:t>
            </w:r>
            <w:r>
              <w:rPr>
                <w:i/>
                <w:iCs/>
              </w:rPr>
              <w:t>changes what the customer sees</w:t>
            </w:r>
          </w:p>
        </w:tc>
      </w:tr>
      <w:tr w:rsidR="00F04A94" w14:paraId="4FF08CBE" w14:textId="77777777">
        <w:tc>
          <w:tcPr>
            <w:tcW w:w="0" w:type="auto"/>
          </w:tcPr>
          <w:p w14:paraId="258AD870" w14:textId="77777777" w:rsidR="00F04A94" w:rsidRDefault="00DF6B0B">
            <w:pPr>
              <w:pStyle w:val="Compact"/>
            </w:pPr>
            <w:r>
              <w:rPr>
                <w:b/>
                <w:bCs/>
              </w:rPr>
              <w:t>P-38</w:t>
            </w:r>
          </w:p>
        </w:tc>
        <w:tc>
          <w:tcPr>
            <w:tcW w:w="0" w:type="auto"/>
          </w:tcPr>
          <w:p w14:paraId="5A9E0E89" w14:textId="77777777" w:rsidR="00F04A94" w:rsidRDefault="00DF6B0B">
            <w:pPr>
              <w:pStyle w:val="Compact"/>
            </w:pPr>
            <w:r>
              <w:t>2026-08-10</w:t>
            </w:r>
          </w:p>
        </w:tc>
        <w:tc>
          <w:tcPr>
            <w:tcW w:w="0" w:type="auto"/>
          </w:tcPr>
          <w:p w14:paraId="7CA09367" w14:textId="77777777" w:rsidR="00F04A94" w:rsidRDefault="00DF6B0B">
            <w:pPr>
              <w:pStyle w:val="Compact"/>
            </w:pPr>
            <w:r>
              <w:t>Incomplete scans</w:t>
            </w:r>
          </w:p>
        </w:tc>
        <w:tc>
          <w:tcPr>
            <w:tcW w:w="0" w:type="auto"/>
          </w:tcPr>
          <w:p w14:paraId="3743DD5D" w14:textId="77777777" w:rsidR="00F04A94" w:rsidRDefault="00DF6B0B">
            <w:pPr>
              <w:pStyle w:val="Compact"/>
            </w:pPr>
            <w:r>
              <w:t xml:space="preserve">A vCenter that could not be scanned is rendered </w:t>
            </w:r>
            <w:r>
              <w:rPr>
                <w:b/>
                <w:bCs/>
              </w:rPr>
              <w:t>into the report body</w:t>
            </w:r>
            <w:r>
              <w:t xml:space="preserve"> as a banner and a table naming it and the reason, not only into the run log. The recipient of the email is far more likely to read the email than to open Orchestrator. </w:t>
            </w:r>
            <w:r>
              <w:rPr>
                <w:i/>
                <w:iCs/>
              </w:rPr>
              <w:t>(Same reasoning as S-16 on the Admin Accounts report.)</w:t>
            </w:r>
          </w:p>
        </w:tc>
        <w:tc>
          <w:tcPr>
            <w:tcW w:w="0" w:type="auto"/>
          </w:tcPr>
          <w:p w14:paraId="419017DF" w14:textId="77777777" w:rsidR="00F04A94" w:rsidRDefault="00DF6B0B">
            <w:pPr>
              <w:pStyle w:val="Compact"/>
            </w:pPr>
            <w:r>
              <w:t>Enhancement (trust)</w:t>
            </w:r>
          </w:p>
        </w:tc>
      </w:tr>
      <w:tr w:rsidR="00F04A94" w14:paraId="1510C70B" w14:textId="77777777">
        <w:tc>
          <w:tcPr>
            <w:tcW w:w="0" w:type="auto"/>
          </w:tcPr>
          <w:p w14:paraId="5A5440D8" w14:textId="77777777" w:rsidR="00F04A94" w:rsidRDefault="00DF6B0B">
            <w:pPr>
              <w:pStyle w:val="Compact"/>
            </w:pPr>
            <w:r>
              <w:rPr>
                <w:b/>
                <w:bCs/>
              </w:rPr>
              <w:t>P-39</w:t>
            </w:r>
          </w:p>
        </w:tc>
        <w:tc>
          <w:tcPr>
            <w:tcW w:w="0" w:type="auto"/>
          </w:tcPr>
          <w:p w14:paraId="6D4886EB" w14:textId="77777777" w:rsidR="00F04A94" w:rsidRDefault="00DF6B0B">
            <w:pPr>
              <w:pStyle w:val="Compact"/>
            </w:pPr>
            <w:r>
              <w:t>2026-08-10</w:t>
            </w:r>
          </w:p>
        </w:tc>
        <w:tc>
          <w:tcPr>
            <w:tcW w:w="0" w:type="auto"/>
          </w:tcPr>
          <w:p w14:paraId="126CC728" w14:textId="77777777" w:rsidR="00F04A94" w:rsidRDefault="00DF6B0B">
            <w:pPr>
              <w:pStyle w:val="Compact"/>
            </w:pPr>
            <w:r>
              <w:t>Presentation</w:t>
            </w:r>
          </w:p>
        </w:tc>
        <w:tc>
          <w:tcPr>
            <w:tcW w:w="0" w:type="auto"/>
          </w:tcPr>
          <w:p w14:paraId="7220FEA7" w14:textId="77777777" w:rsidR="00F04A94" w:rsidRDefault="00DF6B0B">
            <w:pPr>
              <w:pStyle w:val="Compact"/>
            </w:pPr>
            <w:r>
              <w:rPr>
                <w:b/>
                <w:bCs/>
              </w:rPr>
              <w:t>Gen 2's Outlook-safe email formatting is adopted, not replaced</w:t>
            </w:r>
            <w:r>
              <w:t xml:space="preserve"> — inline styles plus legacy </w:t>
            </w:r>
            <w:r>
              <w:rPr>
                <w:rStyle w:val="VerbatimChar"/>
              </w:rPr>
              <w:t>bgcolor</w:t>
            </w:r>
            <w:r>
              <w:t xml:space="preserve"> attributes and table-based layout, because Outlook's Word render engine ignores most </w:t>
            </w:r>
            <w:r>
              <w:rPr>
                <w:rStyle w:val="VerbatimChar"/>
              </w:rPr>
              <w:t>&lt;style&gt;</w:t>
            </w:r>
            <w:r>
              <w:t xml:space="preserve">-block CSS. Gen 2's accent colours are kept so the report looks familiar. Four columns added: </w:t>
            </w:r>
            <w:r>
              <w:rPr>
                <w:b/>
                <w:bCs/>
              </w:rPr>
              <w:t>Datacenter</w:t>
            </w:r>
            <w:r>
              <w:t xml:space="preserve">, </w:t>
            </w:r>
            <w:r>
              <w:rPr>
                <w:b/>
                <w:bCs/>
              </w:rPr>
              <w:t>Datastore Cluster</w:t>
            </w:r>
            <w:r>
              <w:t xml:space="preserve">, </w:t>
            </w:r>
            <w:r>
              <w:rPr>
                <w:b/>
                <w:bCs/>
              </w:rPr>
              <w:t>Type</w:t>
            </w:r>
            <w:r>
              <w:t xml:space="preserve">, </w:t>
            </w:r>
            <w:r>
              <w:rPr>
                <w:b/>
                <w:bCs/>
              </w:rPr>
              <w:t>Overcommitted</w:t>
            </w:r>
            <w:r>
              <w:t xml:space="preserve">. Rows ordered worst-first with deterministic tie-breaking, so consecutive reports can be compared by eye. </w:t>
            </w:r>
            <w:r>
              <w:rPr>
                <w:i/>
                <w:iCs/>
              </w:rPr>
              <w:t xml:space="preserve">(Corrected 2026-08-13: an earlier revision of this register wrongly recorded "no stylesheet" as a live defect — true of Gen 1, already fixed in Gen 2 — and the first revision of the vRO renderer used a </w:t>
            </w:r>
            <w:r>
              <w:rPr>
                <w:rStyle w:val="VerbatimChar"/>
                <w:i/>
                <w:iCs/>
              </w:rPr>
              <w:t>&lt;style&gt;</w:t>
            </w:r>
            <w:r>
              <w:rPr>
                <w:i/>
                <w:iCs/>
              </w:rPr>
              <w:t xml:space="preserve"> block, which would have regressed Outlook rendering against what the customer has today.)</w:t>
            </w:r>
          </w:p>
        </w:tc>
        <w:tc>
          <w:tcPr>
            <w:tcW w:w="0" w:type="auto"/>
          </w:tcPr>
          <w:p w14:paraId="76D6448D" w14:textId="77777777" w:rsidR="00F04A94" w:rsidRDefault="00DF6B0B">
            <w:pPr>
              <w:pStyle w:val="Compact"/>
            </w:pPr>
            <w:r>
              <w:t xml:space="preserve">Enhancement / </w:t>
            </w:r>
            <w:r>
              <w:rPr>
                <w:b/>
                <w:bCs/>
              </w:rPr>
              <w:t>regression averted</w:t>
            </w:r>
          </w:p>
        </w:tc>
      </w:tr>
      <w:tr w:rsidR="00F04A94" w14:paraId="0C9DFF09" w14:textId="77777777">
        <w:tc>
          <w:tcPr>
            <w:tcW w:w="0" w:type="auto"/>
          </w:tcPr>
          <w:p w14:paraId="3FB0A12D" w14:textId="77777777" w:rsidR="00F04A94" w:rsidRDefault="00DF6B0B">
            <w:pPr>
              <w:pStyle w:val="Compact"/>
            </w:pPr>
            <w:r>
              <w:rPr>
                <w:b/>
                <w:bCs/>
              </w:rPr>
              <w:t>P-40</w:t>
            </w:r>
          </w:p>
        </w:tc>
        <w:tc>
          <w:tcPr>
            <w:tcW w:w="0" w:type="auto"/>
          </w:tcPr>
          <w:p w14:paraId="76240D51" w14:textId="77777777" w:rsidR="00F04A94" w:rsidRDefault="00DF6B0B">
            <w:pPr>
              <w:pStyle w:val="Compact"/>
            </w:pPr>
            <w:r>
              <w:t>2026-08-10</w:t>
            </w:r>
          </w:p>
        </w:tc>
        <w:tc>
          <w:tcPr>
            <w:tcW w:w="0" w:type="auto"/>
          </w:tcPr>
          <w:p w14:paraId="601FD1B0" w14:textId="77777777" w:rsidR="00F04A94" w:rsidRDefault="00DF6B0B">
            <w:pPr>
              <w:pStyle w:val="Compact"/>
            </w:pPr>
            <w:r>
              <w:t>Mail subject</w:t>
            </w:r>
          </w:p>
        </w:tc>
        <w:tc>
          <w:tcPr>
            <w:tcW w:w="0" w:type="auto"/>
          </w:tcPr>
          <w:p w14:paraId="3FBC311E" w14:textId="77777777" w:rsidR="00F04A94" w:rsidRDefault="00DF6B0B">
            <w:pPr>
              <w:pStyle w:val="Compact"/>
            </w:pPr>
            <w:r>
              <w:t xml:space="preserve">Subject carries </w:t>
            </w:r>
            <w:r>
              <w:rPr>
                <w:b/>
                <w:bCs/>
              </w:rPr>
              <w:t>all three band counts</w:t>
            </w:r>
            <w:r>
              <w:t xml:space="preserve">, not the top band alone, and appends </w:t>
            </w:r>
            <w:r>
              <w:rPr>
                <w:rStyle w:val="VerbatimChar"/>
              </w:rPr>
              <w:t>INCOMPLETE (n vCenter(s) unreachable)</w:t>
            </w:r>
            <w:r>
              <w:t xml:space="preserve"> when the underlying scan had gaps. A recipient must not read a low count as good news when it is really a partial scan.</w:t>
            </w:r>
          </w:p>
        </w:tc>
        <w:tc>
          <w:tcPr>
            <w:tcW w:w="0" w:type="auto"/>
          </w:tcPr>
          <w:p w14:paraId="31B5201E" w14:textId="77777777" w:rsidR="00F04A94" w:rsidRDefault="00DF6B0B">
            <w:pPr>
              <w:pStyle w:val="Compact"/>
            </w:pPr>
            <w:r>
              <w:rPr>
                <w:b/>
                <w:bCs/>
              </w:rPr>
              <w:t>Defect (misleading)</w:t>
            </w:r>
          </w:p>
        </w:tc>
      </w:tr>
      <w:tr w:rsidR="00F04A94" w14:paraId="7A5CCF8B" w14:textId="77777777">
        <w:tc>
          <w:tcPr>
            <w:tcW w:w="0" w:type="auto"/>
          </w:tcPr>
          <w:p w14:paraId="244DB178" w14:textId="77777777" w:rsidR="00F04A94" w:rsidRDefault="00DF6B0B">
            <w:pPr>
              <w:pStyle w:val="Compact"/>
            </w:pPr>
            <w:r>
              <w:rPr>
                <w:b/>
                <w:bCs/>
              </w:rPr>
              <w:t>P-41</w:t>
            </w:r>
          </w:p>
        </w:tc>
        <w:tc>
          <w:tcPr>
            <w:tcW w:w="0" w:type="auto"/>
          </w:tcPr>
          <w:p w14:paraId="539E2115" w14:textId="77777777" w:rsidR="00F04A94" w:rsidRDefault="00DF6B0B">
            <w:pPr>
              <w:pStyle w:val="Compact"/>
            </w:pPr>
            <w:r>
              <w:t>2026-08-10</w:t>
            </w:r>
          </w:p>
        </w:tc>
        <w:tc>
          <w:tcPr>
            <w:tcW w:w="0" w:type="auto"/>
          </w:tcPr>
          <w:p w14:paraId="74681052" w14:textId="77777777" w:rsidR="00F04A94" w:rsidRDefault="00DF6B0B">
            <w:pPr>
              <w:pStyle w:val="Compact"/>
            </w:pPr>
            <w:r>
              <w:t>Outcome &amp; recovery</w:t>
            </w:r>
          </w:p>
        </w:tc>
        <w:tc>
          <w:tcPr>
            <w:tcW w:w="0" w:type="auto"/>
          </w:tcPr>
          <w:p w14:paraId="574716FE" w14:textId="77777777" w:rsidR="00F04A94" w:rsidRDefault="00DF6B0B">
            <w:pPr>
              <w:pStyle w:val="Compact"/>
            </w:pPr>
            <w:r>
              <w:t xml:space="preserve">The run classifies as </w:t>
            </w:r>
            <w:r>
              <w:rPr>
                <w:rStyle w:val="VerbatimChar"/>
              </w:rPr>
              <w:t>COMPLETE</w:t>
            </w:r>
            <w:r>
              <w:t xml:space="preserve">, </w:t>
            </w:r>
            <w:r>
              <w:rPr>
                <w:rStyle w:val="VerbatimChar"/>
              </w:rPr>
              <w:t>CLEAN_NO_FINDINGS</w:t>
            </w:r>
            <w:r>
              <w:t xml:space="preserve">, </w:t>
            </w:r>
            <w:r>
              <w:rPr>
                <w:rStyle w:val="VerbatimChar"/>
              </w:rPr>
              <w:t>COMPLETE_WITH_GAPS</w:t>
            </w:r>
            <w:r>
              <w:t xml:space="preserve"> or </w:t>
            </w:r>
            <w:r>
              <w:rPr>
                <w:rStyle w:val="VerbatimChar"/>
              </w:rPr>
              <w:t>ERROR</w:t>
            </w:r>
            <w:r>
              <w:t xml:space="preserve"> rather than pass/fail. A </w:t>
            </w:r>
            <w:r>
              <w:rPr>
                <w:b/>
                <w:bCs/>
              </w:rPr>
              <w:t>delivery failure fails the run</w:t>
            </w:r>
            <w:r>
              <w:t xml:space="preserve"> </w:t>
            </w:r>
            <w:r>
              <w:t>— a report nobody received is not a success — and the exception handler writes the already-built report into the transcript so a late failure does not discard the whole estate sweep.</w:t>
            </w:r>
          </w:p>
        </w:tc>
        <w:tc>
          <w:tcPr>
            <w:tcW w:w="0" w:type="auto"/>
          </w:tcPr>
          <w:p w14:paraId="5D49FC31" w14:textId="77777777" w:rsidR="00F04A94" w:rsidRDefault="00DF6B0B">
            <w:pPr>
              <w:pStyle w:val="Compact"/>
            </w:pPr>
            <w:r>
              <w:t>Enhancement (operability)</w:t>
            </w:r>
          </w:p>
        </w:tc>
      </w:tr>
      <w:tr w:rsidR="00F04A94" w14:paraId="1E2B098C" w14:textId="77777777">
        <w:tc>
          <w:tcPr>
            <w:tcW w:w="0" w:type="auto"/>
          </w:tcPr>
          <w:p w14:paraId="55930F57" w14:textId="77777777" w:rsidR="00F04A94" w:rsidRDefault="00DF6B0B">
            <w:pPr>
              <w:pStyle w:val="Compact"/>
            </w:pPr>
            <w:r>
              <w:rPr>
                <w:b/>
                <w:bCs/>
              </w:rPr>
              <w:t>P-42</w:t>
            </w:r>
          </w:p>
        </w:tc>
        <w:tc>
          <w:tcPr>
            <w:tcW w:w="0" w:type="auto"/>
          </w:tcPr>
          <w:p w14:paraId="05C06296" w14:textId="77777777" w:rsidR="00F04A94" w:rsidRDefault="00DF6B0B">
            <w:pPr>
              <w:pStyle w:val="Compact"/>
            </w:pPr>
            <w:r>
              <w:t>2026-08-10</w:t>
            </w:r>
          </w:p>
        </w:tc>
        <w:tc>
          <w:tcPr>
            <w:tcW w:w="0" w:type="auto"/>
          </w:tcPr>
          <w:p w14:paraId="4092D023" w14:textId="77777777" w:rsidR="00F04A94" w:rsidRDefault="00DF6B0B">
            <w:pPr>
              <w:pStyle w:val="Compact"/>
            </w:pPr>
            <w:r>
              <w:t>Inputs &amp; secrets</w:t>
            </w:r>
          </w:p>
        </w:tc>
        <w:tc>
          <w:tcPr>
            <w:tcW w:w="0" w:type="auto"/>
          </w:tcPr>
          <w:p w14:paraId="5B4798AB" w14:textId="77777777" w:rsidR="00F04A94" w:rsidRDefault="00DF6B0B">
            <w:pPr>
              <w:pStyle w:val="Compact"/>
            </w:pPr>
            <w:r>
              <w:rPr>
                <w:rStyle w:val="VerbatimChar"/>
              </w:rPr>
              <w:t>vars.txt</w:t>
            </w:r>
            <w:r>
              <w:t xml:space="preserve"> → workflow inputs with defaults on the Inputs tab. Mail recipients are </w:t>
            </w:r>
            <w:r>
              <w:rPr>
                <w:b/>
                <w:bCs/>
              </w:rPr>
              <w:t>arrays</w:t>
            </w:r>
            <w:r>
              <w:t xml:space="preserve">, not comma-strings (consistent with P-12); blank Cc entries are stripped rather than rejected. SMTP credentials, when used, are a </w:t>
            </w:r>
            <w:r>
              <w:rPr>
                <w:rStyle w:val="VerbatimChar"/>
              </w:rPr>
              <w:t>SecureString</w:t>
            </w:r>
            <w:r>
              <w:t xml:space="preserve"> </w:t>
            </w:r>
            <w:r>
              <w:t>input; the current anonymous relay needs none. No configuration elements are required.</w:t>
            </w:r>
          </w:p>
        </w:tc>
        <w:tc>
          <w:tcPr>
            <w:tcW w:w="0" w:type="auto"/>
          </w:tcPr>
          <w:p w14:paraId="64B8BCAC" w14:textId="77777777" w:rsidR="00F04A94" w:rsidRDefault="00DF6B0B">
            <w:pPr>
              <w:pStyle w:val="Compact"/>
            </w:pPr>
            <w:r>
              <w:t>Enhancement</w:t>
            </w:r>
          </w:p>
        </w:tc>
      </w:tr>
      <w:tr w:rsidR="00F04A94" w14:paraId="6E0F98CA" w14:textId="77777777">
        <w:tc>
          <w:tcPr>
            <w:tcW w:w="0" w:type="auto"/>
          </w:tcPr>
          <w:p w14:paraId="741A0B62" w14:textId="77777777" w:rsidR="00F04A94" w:rsidRDefault="00DF6B0B">
            <w:pPr>
              <w:pStyle w:val="Compact"/>
            </w:pPr>
            <w:r>
              <w:rPr>
                <w:b/>
                <w:bCs/>
              </w:rPr>
              <w:t>P-43</w:t>
            </w:r>
          </w:p>
        </w:tc>
        <w:tc>
          <w:tcPr>
            <w:tcW w:w="0" w:type="auto"/>
          </w:tcPr>
          <w:p w14:paraId="2633B267" w14:textId="77777777" w:rsidR="00F04A94" w:rsidRDefault="00DF6B0B">
            <w:pPr>
              <w:pStyle w:val="Compact"/>
            </w:pPr>
            <w:r>
              <w:t>2026-08-10</w:t>
            </w:r>
          </w:p>
        </w:tc>
        <w:tc>
          <w:tcPr>
            <w:tcW w:w="0" w:type="auto"/>
          </w:tcPr>
          <w:p w14:paraId="284FE060" w14:textId="77777777" w:rsidR="00F04A94" w:rsidRDefault="00DF6B0B">
            <w:pPr>
              <w:pStyle w:val="Compact"/>
            </w:pPr>
            <w:r>
              <w:t>Report artefact</w:t>
            </w:r>
          </w:p>
        </w:tc>
        <w:tc>
          <w:tcPr>
            <w:tcW w:w="0" w:type="auto"/>
          </w:tcPr>
          <w:p w14:paraId="1B5F9D3E" w14:textId="77777777" w:rsidR="00F04A94" w:rsidRDefault="00DF6B0B">
            <w:pPr>
              <w:pStyle w:val="Compact"/>
            </w:pPr>
            <w:r>
              <w:t xml:space="preserve">The unbounded, </w:t>
            </w:r>
            <w:r>
              <w:rPr>
                <w:b/>
                <w:bCs/>
              </w:rPr>
              <w:t>appending</w:t>
            </w:r>
            <w:r>
              <w:t xml:space="preserve"> </w:t>
            </w:r>
            <w:r>
              <w:rPr>
                <w:rStyle w:val="VerbatimChar"/>
              </w:rPr>
              <w:t>debug\result.html</w:t>
            </w:r>
            <w:r>
              <w:t xml:space="preserve"> on the Windows host is replaced by the </w:t>
            </w:r>
            <w:r>
              <w:rPr>
                <w:rStyle w:val="VerbatimChar"/>
              </w:rPr>
              <w:t>reportHtml</w:t>
            </w:r>
            <w:r>
              <w:t xml:space="preserve"> workflow output, produced on every run whether or not mail is enabled and whether or not anything crossed a threshold.</w:t>
            </w:r>
          </w:p>
        </w:tc>
        <w:tc>
          <w:tcPr>
            <w:tcW w:w="0" w:type="auto"/>
          </w:tcPr>
          <w:p w14:paraId="3E20093F" w14:textId="77777777" w:rsidR="00F04A94" w:rsidRDefault="00DF6B0B">
            <w:pPr>
              <w:pStyle w:val="Compact"/>
            </w:pPr>
            <w:r>
              <w:t>Hygiene</w:t>
            </w:r>
          </w:p>
        </w:tc>
      </w:tr>
      <w:tr w:rsidR="00F04A94" w14:paraId="2730DB78" w14:textId="77777777">
        <w:tc>
          <w:tcPr>
            <w:tcW w:w="0" w:type="auto"/>
          </w:tcPr>
          <w:p w14:paraId="67657497" w14:textId="77777777" w:rsidR="00F04A94" w:rsidRDefault="00DF6B0B">
            <w:pPr>
              <w:pStyle w:val="Compact"/>
            </w:pPr>
            <w:r>
              <w:rPr>
                <w:b/>
                <w:bCs/>
              </w:rPr>
              <w:t>P-44</w:t>
            </w:r>
          </w:p>
        </w:tc>
        <w:tc>
          <w:tcPr>
            <w:tcW w:w="0" w:type="auto"/>
          </w:tcPr>
          <w:p w14:paraId="3A36C4C2" w14:textId="77777777" w:rsidR="00F04A94" w:rsidRDefault="00DF6B0B">
            <w:pPr>
              <w:pStyle w:val="Compact"/>
            </w:pPr>
            <w:r>
              <w:t>2026-08-13</w:t>
            </w:r>
          </w:p>
        </w:tc>
        <w:tc>
          <w:tcPr>
            <w:tcW w:w="0" w:type="auto"/>
          </w:tcPr>
          <w:p w14:paraId="622722A3" w14:textId="77777777" w:rsidR="00F04A94" w:rsidRDefault="00DF6B0B">
            <w:pPr>
              <w:pStyle w:val="Compact"/>
            </w:pPr>
            <w:r>
              <w:t>Transport security</w:t>
            </w:r>
          </w:p>
        </w:tc>
        <w:tc>
          <w:tcPr>
            <w:tcW w:w="0" w:type="auto"/>
          </w:tcPr>
          <w:p w14:paraId="1268B117" w14:textId="77777777" w:rsidR="00F04A94" w:rsidRDefault="00DF6B0B">
            <w:pPr>
              <w:pStyle w:val="Compact"/>
            </w:pPr>
            <w:r>
              <w:t xml:space="preserve">Gen 2 runs </w:t>
            </w:r>
            <w:r>
              <w:rPr>
                <w:rStyle w:val="VerbatimChar"/>
              </w:rPr>
              <w:t>Set-PowerCLIConfiguration -InvalidCertificateAction Ignore</w:t>
            </w:r>
            <w:r>
              <w:t xml:space="preserve">, so </w:t>
            </w:r>
            <w:r>
              <w:rPr>
                <w:b/>
                <w:bCs/>
              </w:rPr>
              <w:t>vCenter certificate validation is disabled</w:t>
            </w:r>
            <w:r>
              <w:t xml:space="preserve"> for the connection carrying the service-account credential. The Orchestrator vCenter plug-in validates against its trusted-certificate store instead, so the session is authenticated </w:t>
            </w:r>
            <w:r>
              <w:rPr>
                <w:i/>
                <w:iCs/>
              </w:rPr>
              <w:t>and</w:t>
            </w:r>
            <w:r>
              <w:t xml:space="preserve"> verified. No configuration is required — this comes free with P-33.</w:t>
            </w:r>
          </w:p>
        </w:tc>
        <w:tc>
          <w:tcPr>
            <w:tcW w:w="0" w:type="auto"/>
          </w:tcPr>
          <w:p w14:paraId="555E8C15" w14:textId="77777777" w:rsidR="00F04A94" w:rsidRDefault="00DF6B0B">
            <w:pPr>
              <w:pStyle w:val="Compact"/>
            </w:pPr>
            <w:r>
              <w:rPr>
                <w:b/>
                <w:bCs/>
              </w:rPr>
              <w:t>Security control</w:t>
            </w:r>
          </w:p>
        </w:tc>
      </w:tr>
    </w:tbl>
    <w:p w14:paraId="18605C45" w14:textId="77777777" w:rsidR="00F04A94" w:rsidRDefault="00DF6B0B">
      <w:r>
        <w:pict w14:anchorId="709EAD40">
          <v:rect id="_x0000_i1028" style="width:0;height:1.5pt" o:hralign="center" o:hrstd="t" o:hr="t"/>
        </w:pict>
      </w:r>
    </w:p>
    <w:p w14:paraId="43C07618" w14:textId="77777777" w:rsidR="00F04A94" w:rsidRDefault="00DF6B0B">
      <w:pPr>
        <w:pStyle w:val="Heading2"/>
      </w:pPr>
      <w:bookmarkStart w:id="16" w:name="X28aea72d800202b6811cf8c955799cb3284e209"/>
      <w:bookmarkStart w:id="17" w:name="_Toc237519991"/>
      <w:bookmarkEnd w:id="14"/>
      <w:r>
        <w:t xml:space="preserve">4. What deliberately does </w:t>
      </w:r>
      <w:r>
        <w:rPr>
          <w:b/>
          <w:bCs/>
        </w:rPr>
        <w:t>not</w:t>
      </w:r>
      <w:r>
        <w:t xml:space="preserve"> change</w:t>
      </w:r>
      <w:bookmarkEnd w:id="17"/>
    </w:p>
    <w:tbl>
      <w:tblPr>
        <w:tblStyle w:val="Table"/>
        <w:tblW w:w="0" w:type="auto"/>
        <w:tblLook w:val="0020" w:firstRow="1" w:lastRow="0" w:firstColumn="0" w:lastColumn="0" w:noHBand="0" w:noVBand="0"/>
      </w:tblPr>
      <w:tblGrid>
        <w:gridCol w:w="2400"/>
        <w:gridCol w:w="7176"/>
      </w:tblGrid>
      <w:tr w:rsidR="00F04A94" w14:paraId="2A53431A"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497F44F2" w14:textId="77777777" w:rsidR="00F04A94" w:rsidRDefault="00DF6B0B">
            <w:pPr>
              <w:pStyle w:val="Compact"/>
            </w:pPr>
            <w:r>
              <w:t>Item</w:t>
            </w:r>
          </w:p>
        </w:tc>
        <w:tc>
          <w:tcPr>
            <w:tcW w:w="0" w:type="auto"/>
          </w:tcPr>
          <w:p w14:paraId="3284C3AB" w14:textId="77777777" w:rsidR="00F04A94" w:rsidRDefault="00DF6B0B">
            <w:pPr>
              <w:pStyle w:val="Compact"/>
            </w:pPr>
            <w:r>
              <w:t>Decision</w:t>
            </w:r>
          </w:p>
        </w:tc>
      </w:tr>
      <w:tr w:rsidR="00F04A94" w14:paraId="21AA0AE5" w14:textId="77777777">
        <w:tc>
          <w:tcPr>
            <w:tcW w:w="0" w:type="auto"/>
          </w:tcPr>
          <w:p w14:paraId="5741F6F7" w14:textId="77777777" w:rsidR="00F04A94" w:rsidRDefault="00DF6B0B">
            <w:pPr>
              <w:pStyle w:val="Compact"/>
            </w:pPr>
            <w:r>
              <w:rPr>
                <w:b/>
                <w:bCs/>
              </w:rPr>
              <w:t>Default thresholds</w:t>
            </w:r>
          </w:p>
        </w:tc>
        <w:tc>
          <w:tcPr>
            <w:tcW w:w="0" w:type="auto"/>
          </w:tcPr>
          <w:p w14:paraId="18AC3641" w14:textId="77777777" w:rsidR="00F04A94" w:rsidRDefault="00DF6B0B">
            <w:pPr>
              <w:pStyle w:val="Compact"/>
            </w:pPr>
            <w:r>
              <w:t xml:space="preserve">90 / 80 / 70 preserved exactly. The bands are </w:t>
            </w:r>
            <w:r>
              <w:rPr>
                <w:i/>
                <w:iCs/>
              </w:rPr>
              <w:t>derived</w:t>
            </w:r>
            <w:r>
              <w:t xml:space="preserve"> from </w:t>
            </w:r>
            <w:r>
              <w:rPr>
                <w:rStyle w:val="VerbatimChar"/>
              </w:rPr>
              <w:t>thresholdHighPct</w:t>
            </w:r>
            <w:r>
              <w:t xml:space="preserve"> and </w:t>
            </w:r>
            <w:r>
              <w:rPr>
                <w:rStyle w:val="VerbatimChar"/>
              </w:rPr>
              <w:t>bandWidthPct</w:t>
            </w:r>
            <w:r>
              <w:t xml:space="preserve"> </w:t>
            </w:r>
            <w:r>
              <w:t>rather than entered independently, so they cannot be made to overlap or invert by operator error.</w:t>
            </w:r>
          </w:p>
        </w:tc>
      </w:tr>
      <w:tr w:rsidR="00F04A94" w14:paraId="258CF3B2" w14:textId="77777777">
        <w:tc>
          <w:tcPr>
            <w:tcW w:w="0" w:type="auto"/>
          </w:tcPr>
          <w:p w14:paraId="1370BE46" w14:textId="77777777" w:rsidR="00F04A94" w:rsidRDefault="00DF6B0B">
            <w:pPr>
              <w:pStyle w:val="Compact"/>
            </w:pPr>
            <w:r>
              <w:rPr>
                <w:b/>
                <w:bCs/>
              </w:rPr>
              <w:t>The 70% reporting floor</w:t>
            </w:r>
          </w:p>
        </w:tc>
        <w:tc>
          <w:tcPr>
            <w:tcW w:w="0" w:type="auto"/>
          </w:tcPr>
          <w:p w14:paraId="6740370E" w14:textId="77777777" w:rsidR="00F04A94" w:rsidRDefault="00DF6B0B">
            <w:pPr>
              <w:pStyle w:val="Compact"/>
            </w:pPr>
            <w:r>
              <w:t>Preserved, pending the §1B-2 decision.</w:t>
            </w:r>
          </w:p>
        </w:tc>
      </w:tr>
      <w:tr w:rsidR="00F04A94" w14:paraId="601A28D7" w14:textId="77777777">
        <w:tc>
          <w:tcPr>
            <w:tcW w:w="0" w:type="auto"/>
          </w:tcPr>
          <w:p w14:paraId="2B6DC4D0" w14:textId="77777777" w:rsidR="00F04A94" w:rsidRDefault="00DF6B0B">
            <w:pPr>
              <w:pStyle w:val="Compact"/>
            </w:pPr>
            <w:r>
              <w:rPr>
                <w:b/>
                <w:bCs/>
              </w:rPr>
              <w:t>Short vCenter names in the report</w:t>
            </w:r>
          </w:p>
        </w:tc>
        <w:tc>
          <w:tcPr>
            <w:tcW w:w="0" w:type="auto"/>
          </w:tcPr>
          <w:p w14:paraId="2D242E8A" w14:textId="77777777" w:rsidR="00F04A94" w:rsidRDefault="00DF6B0B">
            <w:pPr>
              <w:pStyle w:val="Compact"/>
            </w:pPr>
            <w:r>
              <w:t xml:space="preserve">The retiring script displayed </w:t>
            </w:r>
            <w:r>
              <w:rPr>
                <w:rStyle w:val="VerbatimChar"/>
              </w:rPr>
              <w:t>$vcenter.Split('.')[0]</w:t>
            </w:r>
            <w:r>
              <w:t>. Kept — the column stays readable.</w:t>
            </w:r>
          </w:p>
        </w:tc>
      </w:tr>
      <w:tr w:rsidR="00F04A94" w14:paraId="5545A048" w14:textId="77777777">
        <w:tc>
          <w:tcPr>
            <w:tcW w:w="0" w:type="auto"/>
          </w:tcPr>
          <w:p w14:paraId="669DAF99" w14:textId="77777777" w:rsidR="00F04A94" w:rsidRDefault="00DF6B0B">
            <w:pPr>
              <w:pStyle w:val="Compact"/>
            </w:pPr>
            <w:r>
              <w:rPr>
                <w:b/>
                <w:bCs/>
              </w:rPr>
              <w:t>Worst-first ordering</w:t>
            </w:r>
          </w:p>
        </w:tc>
        <w:tc>
          <w:tcPr>
            <w:tcW w:w="0" w:type="auto"/>
          </w:tcPr>
          <w:p w14:paraId="4A666536" w14:textId="77777777" w:rsidR="00F04A94" w:rsidRDefault="00DF6B0B">
            <w:pPr>
              <w:pStyle w:val="Compact"/>
            </w:pPr>
            <w:r>
              <w:t xml:space="preserve">The retiring script sorted each band by </w:t>
            </w:r>
            <w:r>
              <w:rPr>
                <w:rStyle w:val="VerbatimChar"/>
              </w:rPr>
              <w:t>PercentFree</w:t>
            </w:r>
            <w:r>
              <w:t xml:space="preserve"> ascending. Kept in substance (now </w:t>
            </w:r>
            <w:r>
              <w:rPr>
                <w:rStyle w:val="VerbatimChar"/>
              </w:rPr>
              <w:t>% used</w:t>
            </w:r>
            <w:r>
              <w:t xml:space="preserve"> descending, with deterministic tie-breaks).</w:t>
            </w:r>
          </w:p>
        </w:tc>
      </w:tr>
      <w:tr w:rsidR="00F04A94" w14:paraId="6A3EBA01" w14:textId="77777777">
        <w:tc>
          <w:tcPr>
            <w:tcW w:w="0" w:type="auto"/>
          </w:tcPr>
          <w:p w14:paraId="6B22D7ED" w14:textId="77777777" w:rsidR="00F04A94" w:rsidRDefault="00DF6B0B">
            <w:pPr>
              <w:pStyle w:val="Compact"/>
            </w:pPr>
            <w:r>
              <w:rPr>
                <w:b/>
                <w:bCs/>
              </w:rPr>
              <w:t>The mail subject prefix</w:t>
            </w:r>
          </w:p>
        </w:tc>
        <w:tc>
          <w:tcPr>
            <w:tcW w:w="0" w:type="auto"/>
          </w:tcPr>
          <w:p w14:paraId="32C27CE9" w14:textId="77777777" w:rsidR="00F04A94" w:rsidRDefault="00DF6B0B">
            <w:pPr>
              <w:pStyle w:val="Compact"/>
            </w:pPr>
            <w:r>
              <w:rPr>
                <w:rStyle w:val="VerbatimChar"/>
              </w:rPr>
              <w:t>var_MailSubjectstring</w:t>
            </w:r>
            <w:r>
              <w:t xml:space="preserve"> </w:t>
            </w:r>
            <w:r>
              <w:t xml:space="preserve">carries over verbatim as </w:t>
            </w:r>
            <w:r>
              <w:rPr>
                <w:rStyle w:val="VerbatimChar"/>
              </w:rPr>
              <w:t>mailSubjectPrefix</w:t>
            </w:r>
            <w:r>
              <w:t>.</w:t>
            </w:r>
          </w:p>
        </w:tc>
      </w:tr>
      <w:tr w:rsidR="00F04A94" w14:paraId="450E3131" w14:textId="77777777">
        <w:tc>
          <w:tcPr>
            <w:tcW w:w="0" w:type="auto"/>
          </w:tcPr>
          <w:p w14:paraId="03729D85" w14:textId="77777777" w:rsidR="00F04A94" w:rsidRDefault="00DF6B0B">
            <w:pPr>
              <w:pStyle w:val="Compact"/>
            </w:pPr>
            <w:r>
              <w:rPr>
                <w:rStyle w:val="VerbatimChar"/>
                <w:b/>
                <w:bCs/>
              </w:rPr>
              <w:t>cvs_functions.ps1</w:t>
            </w:r>
          </w:p>
        </w:tc>
        <w:tc>
          <w:tcPr>
            <w:tcW w:w="0" w:type="auto"/>
          </w:tcPr>
          <w:p w14:paraId="5F11B308" w14:textId="77777777" w:rsidR="00F04A94" w:rsidRDefault="00DF6B0B">
            <w:pPr>
              <w:pStyle w:val="Compact"/>
            </w:pPr>
            <w:r>
              <w:rPr>
                <w:b/>
                <w:bCs/>
              </w:rPr>
              <w:t>Untouched.</w:t>
            </w:r>
            <w:r>
              <w:t xml:space="preserve"> See §1C.</w:t>
            </w:r>
          </w:p>
        </w:tc>
      </w:tr>
      <w:tr w:rsidR="00F04A94" w14:paraId="7974F604" w14:textId="77777777">
        <w:tc>
          <w:tcPr>
            <w:tcW w:w="0" w:type="auto"/>
          </w:tcPr>
          <w:p w14:paraId="4C82053C" w14:textId="77777777" w:rsidR="00F04A94" w:rsidRDefault="00DF6B0B">
            <w:pPr>
              <w:pStyle w:val="Compact"/>
            </w:pPr>
            <w:r>
              <w:rPr>
                <w:b/>
                <w:bCs/>
              </w:rPr>
              <w:t>Read-only posture</w:t>
            </w:r>
          </w:p>
        </w:tc>
        <w:tc>
          <w:tcPr>
            <w:tcW w:w="0" w:type="auto"/>
          </w:tcPr>
          <w:p w14:paraId="330F9FDF" w14:textId="77777777" w:rsidR="00F04A94" w:rsidRDefault="00DF6B0B">
            <w:pPr>
              <w:pStyle w:val="Compact"/>
            </w:pPr>
            <w:r>
              <w:t>The automation never wrote to vCenter and still does not.</w:t>
            </w:r>
          </w:p>
        </w:tc>
      </w:tr>
    </w:tbl>
    <w:p w14:paraId="170EE6A6" w14:textId="77777777" w:rsidR="00F04A94" w:rsidRDefault="00DF6B0B">
      <w:r>
        <w:pict w14:anchorId="12697553">
          <v:rect id="_x0000_i1029" style="width:0;height:1.5pt" o:hralign="center" o:hrstd="t" o:hr="t"/>
        </w:pict>
      </w:r>
    </w:p>
    <w:p w14:paraId="31B33710" w14:textId="77777777" w:rsidR="00F04A94" w:rsidRDefault="00DF6B0B">
      <w:pPr>
        <w:pStyle w:val="Heading2"/>
      </w:pPr>
      <w:bookmarkStart w:id="18" w:name="Xd9af55a8e5f41b78d4c29bdca591a40737719f1"/>
      <w:bookmarkStart w:id="19" w:name="_Toc237519992"/>
      <w:bookmarkEnd w:id="16"/>
      <w:r>
        <w:t>5. Open items and watch items</w:t>
      </w:r>
      <w:bookmarkEnd w:id="19"/>
    </w:p>
    <w:tbl>
      <w:tblPr>
        <w:tblStyle w:val="Table"/>
        <w:tblW w:w="0" w:type="auto"/>
        <w:tblLook w:val="0020" w:firstRow="1" w:lastRow="0" w:firstColumn="0" w:lastColumn="0" w:noHBand="0" w:noVBand="0"/>
      </w:tblPr>
      <w:tblGrid>
        <w:gridCol w:w="440"/>
        <w:gridCol w:w="7477"/>
        <w:gridCol w:w="1659"/>
      </w:tblGrid>
      <w:tr w:rsidR="00F04A94" w14:paraId="7D9947C5"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4354229A" w14:textId="77777777" w:rsidR="00F04A94" w:rsidRDefault="00DF6B0B">
            <w:pPr>
              <w:pStyle w:val="Compact"/>
            </w:pPr>
            <w:r>
              <w:t>#</w:t>
            </w:r>
          </w:p>
        </w:tc>
        <w:tc>
          <w:tcPr>
            <w:tcW w:w="0" w:type="auto"/>
          </w:tcPr>
          <w:p w14:paraId="0DC033DB" w14:textId="77777777" w:rsidR="00F04A94" w:rsidRDefault="00DF6B0B">
            <w:pPr>
              <w:pStyle w:val="Compact"/>
            </w:pPr>
            <w:r>
              <w:t>Item</w:t>
            </w:r>
          </w:p>
        </w:tc>
        <w:tc>
          <w:tcPr>
            <w:tcW w:w="0" w:type="auto"/>
          </w:tcPr>
          <w:p w14:paraId="21921E18" w14:textId="77777777" w:rsidR="00F04A94" w:rsidRDefault="00DF6B0B">
            <w:pPr>
              <w:pStyle w:val="Compact"/>
            </w:pPr>
            <w:r>
              <w:t>Status</w:t>
            </w:r>
          </w:p>
        </w:tc>
      </w:tr>
      <w:tr w:rsidR="00F04A94" w14:paraId="2E5A6571" w14:textId="77777777">
        <w:tc>
          <w:tcPr>
            <w:tcW w:w="0" w:type="auto"/>
          </w:tcPr>
          <w:p w14:paraId="7C635496" w14:textId="77777777" w:rsidR="00F04A94" w:rsidRDefault="00DF6B0B">
            <w:pPr>
              <w:pStyle w:val="Compact"/>
            </w:pPr>
            <w:r>
              <w:t>1</w:t>
            </w:r>
          </w:p>
        </w:tc>
        <w:tc>
          <w:tcPr>
            <w:tcW w:w="0" w:type="auto"/>
          </w:tcPr>
          <w:p w14:paraId="09B100CC" w14:textId="77777777" w:rsidR="00F04A94" w:rsidRDefault="00DF6B0B">
            <w:pPr>
              <w:pStyle w:val="Compact"/>
            </w:pPr>
            <w:r>
              <w:rPr>
                <w:b/>
                <w:bCs/>
              </w:rPr>
              <w:t>The report will get longer — brief the recipients first.</w:t>
            </w:r>
            <w:r>
              <w:t xml:space="preserve"> P-36, P-37 and P-34 each add rows that were previously invisible. The datastore count is expected to rise, in the lab fixtures by a factor of four. That is previously-hidden scope becoming visible, </w:t>
            </w:r>
            <w:r>
              <w:rPr>
                <w:b/>
                <w:bCs/>
              </w:rPr>
              <w:t>not</w:t>
            </w:r>
            <w:r>
              <w:t xml:space="preserve"> </w:t>
            </w:r>
            <w:r>
              <w:t>a sudden deterioration in the estate. Brief the distribution list before the first scheduled send.</w:t>
            </w:r>
          </w:p>
        </w:tc>
        <w:tc>
          <w:tcPr>
            <w:tcW w:w="0" w:type="auto"/>
          </w:tcPr>
          <w:p w14:paraId="667840CA" w14:textId="77777777" w:rsidR="00F04A94" w:rsidRDefault="00DF6B0B">
            <w:pPr>
              <w:pStyle w:val="Compact"/>
            </w:pPr>
            <w:r>
              <w:rPr>
                <w:b/>
                <w:bCs/>
              </w:rPr>
              <w:t>Action required before go-live</w:t>
            </w:r>
          </w:p>
        </w:tc>
      </w:tr>
      <w:tr w:rsidR="00F04A94" w14:paraId="5631CEDC" w14:textId="77777777">
        <w:tc>
          <w:tcPr>
            <w:tcW w:w="0" w:type="auto"/>
          </w:tcPr>
          <w:p w14:paraId="5CF274A5" w14:textId="77777777" w:rsidR="00F04A94" w:rsidRDefault="00DF6B0B">
            <w:pPr>
              <w:pStyle w:val="Compact"/>
            </w:pPr>
            <w:r>
              <w:t>2</w:t>
            </w:r>
          </w:p>
        </w:tc>
        <w:tc>
          <w:tcPr>
            <w:tcW w:w="0" w:type="auto"/>
          </w:tcPr>
          <w:p w14:paraId="5C71BA8D" w14:textId="77777777" w:rsidR="00F04A94" w:rsidRDefault="00DF6B0B">
            <w:pPr>
              <w:pStyle w:val="Compact"/>
            </w:pPr>
            <w:r>
              <w:rPr>
                <w:rStyle w:val="VerbatimChar"/>
                <w:b/>
                <w:bCs/>
              </w:rPr>
              <w:t>$high = 90</w:t>
            </w:r>
            <w:r>
              <w:rPr>
                <w:b/>
                <w:bCs/>
              </w:rPr>
              <w:t xml:space="preserve"> vs the comment saying 95</w:t>
            </w:r>
            <w:r>
              <w:t xml:space="preserve"> (§1B-1).</w:t>
            </w:r>
          </w:p>
        </w:tc>
        <w:tc>
          <w:tcPr>
            <w:tcW w:w="0" w:type="auto"/>
          </w:tcPr>
          <w:p w14:paraId="120EA08C" w14:textId="77777777" w:rsidR="00F04A94" w:rsidRDefault="00DF6B0B">
            <w:pPr>
              <w:pStyle w:val="Compact"/>
            </w:pPr>
            <w:r>
              <w:t>Customer decision</w:t>
            </w:r>
          </w:p>
        </w:tc>
      </w:tr>
      <w:tr w:rsidR="00F04A94" w14:paraId="3D284091" w14:textId="77777777">
        <w:tc>
          <w:tcPr>
            <w:tcW w:w="0" w:type="auto"/>
          </w:tcPr>
          <w:p w14:paraId="4FD9AA02" w14:textId="77777777" w:rsidR="00F04A94" w:rsidRDefault="00DF6B0B">
            <w:pPr>
              <w:pStyle w:val="Compact"/>
            </w:pPr>
            <w:r>
              <w:t>3</w:t>
            </w:r>
          </w:p>
        </w:tc>
        <w:tc>
          <w:tcPr>
            <w:tcW w:w="0" w:type="auto"/>
          </w:tcPr>
          <w:p w14:paraId="6C5BF1A1" w14:textId="77777777" w:rsidR="00F04A94" w:rsidRDefault="00DF6B0B">
            <w:pPr>
              <w:pStyle w:val="Compact"/>
            </w:pPr>
            <w:r>
              <w:rPr>
                <w:b/>
                <w:bCs/>
              </w:rPr>
              <w:t>"75 Percent" in the name vs a 70% floor</w:t>
            </w:r>
            <w:r>
              <w:t xml:space="preserve"> (§1B-2).</w:t>
            </w:r>
          </w:p>
        </w:tc>
        <w:tc>
          <w:tcPr>
            <w:tcW w:w="0" w:type="auto"/>
          </w:tcPr>
          <w:p w14:paraId="1E51A4B4" w14:textId="77777777" w:rsidR="00F04A94" w:rsidRDefault="00DF6B0B">
            <w:pPr>
              <w:pStyle w:val="Compact"/>
            </w:pPr>
            <w:r>
              <w:t>Customer decision</w:t>
            </w:r>
          </w:p>
        </w:tc>
      </w:tr>
      <w:tr w:rsidR="00F04A94" w14:paraId="00873878" w14:textId="77777777">
        <w:tc>
          <w:tcPr>
            <w:tcW w:w="0" w:type="auto"/>
          </w:tcPr>
          <w:p w14:paraId="4C41D6D6" w14:textId="77777777" w:rsidR="00F04A94" w:rsidRDefault="00DF6B0B">
            <w:pPr>
              <w:pStyle w:val="Compact"/>
            </w:pPr>
            <w:r>
              <w:t>4</w:t>
            </w:r>
          </w:p>
        </w:tc>
        <w:tc>
          <w:tcPr>
            <w:tcW w:w="0" w:type="auto"/>
          </w:tcPr>
          <w:p w14:paraId="14DBB99E" w14:textId="77777777" w:rsidR="00F04A94" w:rsidRDefault="00DF6B0B">
            <w:pPr>
              <w:pStyle w:val="Compact"/>
            </w:pPr>
            <w:r>
              <w:rPr>
                <w:b/>
                <w:bCs/>
              </w:rPr>
              <w:t>The defects in §1A remain live in the Ansible path until the job template is retired.</w:t>
            </w:r>
            <w:r>
              <w:t xml:space="preserve"> This deliverable does not fix </w:t>
            </w:r>
            <w:r>
              <w:rPr>
                <w:rStyle w:val="VerbatimChar"/>
              </w:rPr>
              <w:t>cvs_functions.ps1</w:t>
            </w:r>
            <w:r>
              <w:t xml:space="preserve"> </w:t>
            </w:r>
            <w:r>
              <w:t>— by design, since the script is being taken out of the path entirely. For as long as both run in parallel, the Ansible report retains all six defects. Keep the overlap short, and do not treat the Ansible report as the reference during comparison.</w:t>
            </w:r>
          </w:p>
        </w:tc>
        <w:tc>
          <w:tcPr>
            <w:tcW w:w="0" w:type="auto"/>
          </w:tcPr>
          <w:p w14:paraId="4C6CAF20" w14:textId="77777777" w:rsidR="00F04A94" w:rsidRDefault="00DF6B0B">
            <w:pPr>
              <w:pStyle w:val="Compact"/>
            </w:pPr>
            <w:r>
              <w:rPr>
                <w:b/>
                <w:bCs/>
              </w:rPr>
              <w:t>Open — accepted</w:t>
            </w:r>
          </w:p>
        </w:tc>
      </w:tr>
      <w:tr w:rsidR="00F04A94" w14:paraId="6A891510" w14:textId="77777777">
        <w:tc>
          <w:tcPr>
            <w:tcW w:w="0" w:type="auto"/>
          </w:tcPr>
          <w:p w14:paraId="5E8DFEE7" w14:textId="77777777" w:rsidR="00F04A94" w:rsidRDefault="00DF6B0B">
            <w:pPr>
              <w:pStyle w:val="Compact"/>
            </w:pPr>
            <w:r>
              <w:t>5</w:t>
            </w:r>
          </w:p>
        </w:tc>
        <w:tc>
          <w:tcPr>
            <w:tcW w:w="0" w:type="auto"/>
          </w:tcPr>
          <w:p w14:paraId="0878BD50" w14:textId="77777777" w:rsidR="00F04A94" w:rsidRDefault="00DF6B0B">
            <w:pPr>
              <w:pStyle w:val="Compact"/>
            </w:pPr>
            <w:r>
              <w:rPr>
                <w:b/>
                <w:bCs/>
              </w:rPr>
              <w:t>vCenter permissions.</w:t>
            </w:r>
            <w:r>
              <w:t xml:space="preserve"> The Orchestrator vCenter endpoint account needs read-only at the root of each inventory. No write permission is needed or used. Confirm the registered endpoints cover all five vCenters.</w:t>
            </w:r>
          </w:p>
        </w:tc>
        <w:tc>
          <w:tcPr>
            <w:tcW w:w="0" w:type="auto"/>
          </w:tcPr>
          <w:p w14:paraId="1B035964" w14:textId="77777777" w:rsidR="00F04A94" w:rsidRDefault="00DF6B0B">
            <w:pPr>
              <w:pStyle w:val="Compact"/>
            </w:pPr>
            <w:r>
              <w:t>Verify at deployment</w:t>
            </w:r>
          </w:p>
        </w:tc>
      </w:tr>
      <w:tr w:rsidR="00F04A94" w14:paraId="2A36ABF4" w14:textId="77777777">
        <w:tc>
          <w:tcPr>
            <w:tcW w:w="0" w:type="auto"/>
          </w:tcPr>
          <w:p w14:paraId="27F9E872" w14:textId="77777777" w:rsidR="00F04A94" w:rsidRDefault="00DF6B0B">
            <w:pPr>
              <w:pStyle w:val="Compact"/>
            </w:pPr>
            <w:r>
              <w:t>6</w:t>
            </w:r>
          </w:p>
        </w:tc>
        <w:tc>
          <w:tcPr>
            <w:tcW w:w="0" w:type="auto"/>
          </w:tcPr>
          <w:p w14:paraId="39572AE4" w14:textId="77777777" w:rsidR="00F04A94" w:rsidRDefault="00DF6B0B">
            <w:pPr>
              <w:pStyle w:val="Compact"/>
            </w:pPr>
            <w:r>
              <w:rPr>
                <w:b/>
                <w:bCs/>
              </w:rPr>
              <w:t>SMTP relay reachability from Orchestrator.</w:t>
            </w:r>
            <w:r>
              <w:t xml:space="preserve"> Mail now leaves the Orchestrator appliance, not the Windows host. </w:t>
            </w:r>
            <w:r>
              <w:rPr>
                <w:rStyle w:val="VerbatimChar"/>
              </w:rPr>
              <w:t>mailrelay.corp.local:25</w:t>
            </w:r>
            <w:r>
              <w:t xml:space="preserve"> must accept submission from the appliance's address.</w:t>
            </w:r>
          </w:p>
        </w:tc>
        <w:tc>
          <w:tcPr>
            <w:tcW w:w="0" w:type="auto"/>
          </w:tcPr>
          <w:p w14:paraId="60153F9F" w14:textId="77777777" w:rsidR="00F04A94" w:rsidRDefault="00DF6B0B">
            <w:pPr>
              <w:pStyle w:val="Compact"/>
            </w:pPr>
            <w:r>
              <w:t>Verify at deployment</w:t>
            </w:r>
          </w:p>
        </w:tc>
      </w:tr>
      <w:tr w:rsidR="00F04A94" w14:paraId="4EA1641B" w14:textId="77777777">
        <w:tc>
          <w:tcPr>
            <w:tcW w:w="0" w:type="auto"/>
          </w:tcPr>
          <w:p w14:paraId="0E6F666B" w14:textId="77777777" w:rsidR="00F04A94" w:rsidRDefault="00DF6B0B">
            <w:pPr>
              <w:pStyle w:val="Compact"/>
            </w:pPr>
            <w:r>
              <w:t>7</w:t>
            </w:r>
          </w:p>
        </w:tc>
        <w:tc>
          <w:tcPr>
            <w:tcW w:w="0" w:type="auto"/>
          </w:tcPr>
          <w:p w14:paraId="62B8C1E1" w14:textId="77777777" w:rsidR="00F04A94" w:rsidRDefault="00DF6B0B">
            <w:pPr>
              <w:pStyle w:val="Compact"/>
            </w:pPr>
            <w:r>
              <w:rPr>
                <w:rStyle w:val="VerbatimChar"/>
                <w:b/>
                <w:bCs/>
              </w:rPr>
              <w:t>uncommitted</w:t>
            </w:r>
            <w:r>
              <w:rPr>
                <w:b/>
                <w:bCs/>
              </w:rPr>
              <w:t xml:space="preserve"> is optional in the vSphere API</w:t>
            </w:r>
            <w:r>
              <w:t xml:space="preserve"> and is not published for every datastore type. Those rows render </w:t>
            </w:r>
            <w:r>
              <w:rPr>
                <w:rStyle w:val="VerbatimChar"/>
              </w:rPr>
              <w:t>unknown</w:t>
            </w:r>
            <w:r>
              <w:t xml:space="preserve"> in the Overcommitted column rather than a misleading </w:t>
            </w:r>
            <w:r>
              <w:rPr>
                <w:rStyle w:val="VerbatimChar"/>
              </w:rPr>
              <w:t>No</w:t>
            </w:r>
            <w:r>
              <w:t>. Expect some on NFS.</w:t>
            </w:r>
          </w:p>
        </w:tc>
        <w:tc>
          <w:tcPr>
            <w:tcW w:w="0" w:type="auto"/>
          </w:tcPr>
          <w:p w14:paraId="64F2B89E" w14:textId="77777777" w:rsidR="00F04A94" w:rsidRDefault="00DF6B0B">
            <w:pPr>
              <w:pStyle w:val="Compact"/>
            </w:pPr>
            <w:r>
              <w:t>Informational</w:t>
            </w:r>
          </w:p>
        </w:tc>
      </w:tr>
      <w:tr w:rsidR="00F04A94" w14:paraId="2C5B498F" w14:textId="77777777">
        <w:tc>
          <w:tcPr>
            <w:tcW w:w="0" w:type="auto"/>
          </w:tcPr>
          <w:p w14:paraId="208A506E" w14:textId="77777777" w:rsidR="00F04A94" w:rsidRDefault="00DF6B0B">
            <w:pPr>
              <w:pStyle w:val="Compact"/>
            </w:pPr>
            <w:r>
              <w:t>8</w:t>
            </w:r>
          </w:p>
        </w:tc>
        <w:tc>
          <w:tcPr>
            <w:tcW w:w="0" w:type="auto"/>
          </w:tcPr>
          <w:p w14:paraId="753C3FA9" w14:textId="77777777" w:rsidR="00F04A94" w:rsidRDefault="00DF6B0B">
            <w:pPr>
              <w:pStyle w:val="Compact"/>
            </w:pPr>
            <w:r>
              <w:rPr>
                <w:b/>
                <w:bCs/>
              </w:rPr>
              <w:t>Overlapping runs are harmless.</w:t>
            </w:r>
            <w:r>
              <w:t xml:space="preserve"> </w:t>
            </w:r>
            <w:r>
              <w:t>The workflow is read-only and holds no lock, so it needs no mutex — unlike Snapshot Cleanup. A slow run overrun by the next schedule costs duplicate emails, nothing more.</w:t>
            </w:r>
          </w:p>
        </w:tc>
        <w:tc>
          <w:tcPr>
            <w:tcW w:w="0" w:type="auto"/>
          </w:tcPr>
          <w:p w14:paraId="23631CF9" w14:textId="77777777" w:rsidR="00F04A94" w:rsidRDefault="00DF6B0B">
            <w:pPr>
              <w:pStyle w:val="Compact"/>
            </w:pPr>
            <w:r>
              <w:t>Informational</w:t>
            </w:r>
          </w:p>
        </w:tc>
      </w:tr>
      <w:tr w:rsidR="00F04A94" w14:paraId="3F4F5204" w14:textId="77777777">
        <w:tc>
          <w:tcPr>
            <w:tcW w:w="0" w:type="auto"/>
          </w:tcPr>
          <w:p w14:paraId="4521C944" w14:textId="77777777" w:rsidR="00F04A94" w:rsidRDefault="00DF6B0B">
            <w:pPr>
              <w:pStyle w:val="Compact"/>
            </w:pPr>
            <w:r>
              <w:t>9</w:t>
            </w:r>
          </w:p>
        </w:tc>
        <w:tc>
          <w:tcPr>
            <w:tcW w:w="0" w:type="auto"/>
          </w:tcPr>
          <w:p w14:paraId="3C331922" w14:textId="77777777" w:rsidR="00F04A94" w:rsidRDefault="00DF6B0B">
            <w:pPr>
              <w:pStyle w:val="Compact"/>
            </w:pPr>
            <w:r>
              <w:rPr>
                <w:b/>
                <w:bCs/>
              </w:rPr>
              <w:t>Which generation is deployed is unconfirmed</w:t>
            </w:r>
            <w:r>
              <w:t xml:space="preserve"> (§1D). </w:t>
            </w:r>
            <w:r>
              <w:rPr>
                <w:rStyle w:val="VerbatimChar"/>
              </w:rPr>
              <w:t>cvs_50_100.ps1</w:t>
            </w:r>
            <w:r>
              <w:t xml:space="preserve"> is confirmed newer than </w:t>
            </w:r>
            <w:r>
              <w:rPr>
                <w:rStyle w:val="VerbatimChar"/>
              </w:rPr>
              <w:t>cvs_functions.ps1</w:t>
            </w:r>
            <w:r>
              <w:t xml:space="preserve">, but not confirmed as the version on the production schedule. This changes only </w:t>
            </w:r>
            <w:r>
              <w:rPr>
                <w:i/>
                <w:iCs/>
              </w:rPr>
              <w:t>which</w:t>
            </w:r>
            <w:r>
              <w:t xml:space="preserve"> defects are live today, not what the transition delivers — the vRO workflow supersedes both. </w:t>
            </w:r>
            <w:r>
              <w:rPr>
                <w:b/>
                <w:bCs/>
              </w:rPr>
              <w:t>Confirm before the parallel run</w:t>
            </w:r>
            <w:r>
              <w:t>, because the comparison baseline differs: Gen 1 aborts on a zero-capacity datastore, Gen 2 does not.</w:t>
            </w:r>
          </w:p>
        </w:tc>
        <w:tc>
          <w:tcPr>
            <w:tcW w:w="0" w:type="auto"/>
          </w:tcPr>
          <w:p w14:paraId="0F58089E" w14:textId="77777777" w:rsidR="00F04A94" w:rsidRDefault="00DF6B0B">
            <w:pPr>
              <w:pStyle w:val="Compact"/>
            </w:pPr>
            <w:r>
              <w:rPr>
                <w:b/>
                <w:bCs/>
              </w:rPr>
              <w:t>Customer confirmation required</w:t>
            </w:r>
          </w:p>
        </w:tc>
      </w:tr>
      <w:tr w:rsidR="00F04A94" w14:paraId="6B079097" w14:textId="77777777">
        <w:tc>
          <w:tcPr>
            <w:tcW w:w="0" w:type="auto"/>
          </w:tcPr>
          <w:p w14:paraId="610A3B44" w14:textId="77777777" w:rsidR="00F04A94" w:rsidRDefault="00DF6B0B">
            <w:pPr>
              <w:pStyle w:val="Compact"/>
            </w:pPr>
            <w:r>
              <w:t>10</w:t>
            </w:r>
          </w:p>
        </w:tc>
        <w:tc>
          <w:tcPr>
            <w:tcW w:w="0" w:type="auto"/>
          </w:tcPr>
          <w:p w14:paraId="60909B68" w14:textId="77777777" w:rsidR="00F04A94" w:rsidRDefault="00DF6B0B">
            <w:pPr>
              <w:pStyle w:val="Compact"/>
            </w:pPr>
            <w:r>
              <w:rPr>
                <w:b/>
                <w:bCs/>
              </w:rPr>
              <w:t xml:space="preserve">A third, newer report exists: </w:t>
            </w:r>
            <w:r>
              <w:rPr>
                <w:rStyle w:val="VerbatimChar"/>
                <w:b/>
                <w:bCs/>
              </w:rPr>
              <w:t>datastore_fill_projection_report.yml</w:t>
            </w:r>
            <w:r>
              <w:rPr>
                <w:b/>
                <w:bCs/>
              </w:rPr>
              <w:t xml:space="preserve"> / </w:t>
            </w:r>
            <w:r>
              <w:rPr>
                <w:rStyle w:val="VerbatimChar"/>
                <w:b/>
                <w:bCs/>
              </w:rPr>
              <w:t>cvs_datastore_fill_projection.ps1</w:t>
            </w:r>
            <w:r>
              <w:rPr>
                <w:b/>
                <w:bCs/>
              </w:rPr>
              <w:t>.</w:t>
            </w:r>
            <w:r>
              <w:t xml:space="preserve"> It adds historical growth-rate projection (</w:t>
            </w:r>
            <w:r>
              <w:rPr>
                <w:rStyle w:val="VerbatimChar"/>
              </w:rPr>
              <w:t>Get-Stat</w:t>
            </w:r>
            <w:r>
              <w:t xml:space="preserve"> over 7 and 30 days), days-to-threshold, three risk tiers and a CSV export. It appears to be the intended successor to this report rather than a peer. </w:t>
            </w:r>
            <w:r>
              <w:rPr>
                <w:b/>
                <w:bCs/>
              </w:rPr>
              <w:t>Not in scope for this deliverable, and it should probably not be transitioned to Orchestrator at all</w:t>
            </w:r>
            <w:r>
              <w:t xml:space="preserve"> — see </w:t>
            </w:r>
            <w:r>
              <w:rPr>
                <w:rStyle w:val="VerbatimChar"/>
              </w:rPr>
              <w:t>06_Platform_Options_Advisory.md</w:t>
            </w:r>
            <w:r>
              <w:t>.</w:t>
            </w:r>
          </w:p>
        </w:tc>
        <w:tc>
          <w:tcPr>
            <w:tcW w:w="0" w:type="auto"/>
          </w:tcPr>
          <w:p w14:paraId="26A6E0B7" w14:textId="77777777" w:rsidR="00F04A94" w:rsidRDefault="00DF6B0B">
            <w:pPr>
              <w:pStyle w:val="Compact"/>
            </w:pPr>
            <w:r>
              <w:rPr>
                <w:b/>
                <w:bCs/>
              </w:rPr>
              <w:t>Open — decision required</w:t>
            </w:r>
          </w:p>
        </w:tc>
      </w:tr>
      <w:tr w:rsidR="00F04A94" w14:paraId="368A1CA3" w14:textId="77777777">
        <w:tc>
          <w:tcPr>
            <w:tcW w:w="0" w:type="auto"/>
          </w:tcPr>
          <w:p w14:paraId="1C42CEF8" w14:textId="77777777" w:rsidR="00F04A94" w:rsidRDefault="00DF6B0B">
            <w:pPr>
              <w:pStyle w:val="Compact"/>
            </w:pPr>
            <w:r>
              <w:t>11</w:t>
            </w:r>
          </w:p>
        </w:tc>
        <w:tc>
          <w:tcPr>
            <w:tcW w:w="0" w:type="auto"/>
          </w:tcPr>
          <w:p w14:paraId="4A0AB8F7" w14:textId="77777777" w:rsidR="00F04A94" w:rsidRDefault="00DF6B0B">
            <w:pPr>
              <w:pStyle w:val="Compact"/>
            </w:pPr>
            <w:r>
              <w:rPr>
                <w:rStyle w:val="VerbatimChar"/>
                <w:b/>
                <w:bCs/>
              </w:rPr>
              <w:t>Select-Object -First 25</w:t>
            </w:r>
            <w:r>
              <w:t xml:space="preserve"> silently truncates the "no measurable growth" tier in the projection script. The heading discloses it, but the total is not stated, so a reader cannot tell 25 from 25-of-400. Recorded for whoever owns that report next.</w:t>
            </w:r>
          </w:p>
        </w:tc>
        <w:tc>
          <w:tcPr>
            <w:tcW w:w="0" w:type="auto"/>
          </w:tcPr>
          <w:p w14:paraId="1866B067" w14:textId="77777777" w:rsidR="00F04A94" w:rsidRDefault="00DF6B0B">
            <w:pPr>
              <w:pStyle w:val="Compact"/>
            </w:pPr>
            <w:r>
              <w:t>Informational</w:t>
            </w:r>
          </w:p>
        </w:tc>
      </w:tr>
    </w:tbl>
    <w:p w14:paraId="6B795C0C" w14:textId="77777777" w:rsidR="00F04A94" w:rsidRDefault="00DF6B0B">
      <w:r>
        <w:pict w14:anchorId="72C6BB67">
          <v:rect id="_x0000_i1030" style="width:0;height:1.5pt" o:hralign="center" o:hrstd="t" o:hr="t"/>
        </w:pict>
      </w:r>
    </w:p>
    <w:p w14:paraId="29CD3976" w14:textId="77777777" w:rsidR="00F04A94" w:rsidRDefault="00DF6B0B">
      <w:pPr>
        <w:pStyle w:val="Heading2"/>
      </w:pPr>
      <w:bookmarkStart w:id="20" w:name="Xacab6b172830a102902fd6ff2c9c05470ad712e"/>
      <w:bookmarkStart w:id="21" w:name="_Toc237519993"/>
      <w:bookmarkEnd w:id="18"/>
      <w:r>
        <w:t>6. Parallel run — how to compare the two reports</w:t>
      </w:r>
      <w:bookmarkEnd w:id="21"/>
    </w:p>
    <w:p w14:paraId="41223C82" w14:textId="77777777" w:rsidR="00F04A94" w:rsidRDefault="00DF6B0B">
      <w:pPr>
        <w:pStyle w:val="FirstParagraph"/>
      </w:pPr>
      <w:r>
        <w:t xml:space="preserve">A side-by-side comparison against the Ansible report </w:t>
      </w:r>
      <w:r>
        <w:rPr>
          <w:b/>
          <w:bCs/>
        </w:rPr>
        <w:t>will</w:t>
      </w:r>
      <w:r>
        <w:t xml:space="preserve"> show differences, and every one of them is a defect fix rather than a regression. Expect, in descending order of visibility:</w:t>
      </w:r>
    </w:p>
    <w:p w14:paraId="59781C7E" w14:textId="77777777" w:rsidR="00F04A94" w:rsidRDefault="00DF6B0B">
      <w:pPr>
        <w:pStyle w:val="Compact"/>
        <w:numPr>
          <w:ilvl w:val="0"/>
          <w:numId w:val="5"/>
        </w:numPr>
      </w:pPr>
      <w:r>
        <w:rPr>
          <w:b/>
          <w:bCs/>
        </w:rPr>
        <w:t>More datastores — usually many more</w:t>
      </w:r>
      <w:r>
        <w:t xml:space="preserve"> (P-36). Anything full but not overcommitted is appearing for the first time.</w:t>
      </w:r>
    </w:p>
    <w:p w14:paraId="6FEA02BC" w14:textId="77777777" w:rsidR="00F04A94" w:rsidRDefault="00DF6B0B">
      <w:pPr>
        <w:pStyle w:val="Compact"/>
        <w:numPr>
          <w:ilvl w:val="0"/>
          <w:numId w:val="5"/>
        </w:numPr>
      </w:pPr>
      <w:r>
        <w:rPr>
          <w:b/>
          <w:bCs/>
        </w:rPr>
        <w:t>Duplicate names now appear</w:t>
      </w:r>
      <w:r>
        <w:t xml:space="preserve"> (P-37), attributed to different vCenters.</w:t>
      </w:r>
    </w:p>
    <w:p w14:paraId="7F77D4E3" w14:textId="77777777" w:rsidR="00F04A94" w:rsidRDefault="00DF6B0B">
      <w:pPr>
        <w:pStyle w:val="Compact"/>
        <w:numPr>
          <w:ilvl w:val="0"/>
          <w:numId w:val="5"/>
        </w:numPr>
      </w:pPr>
      <w:r>
        <w:rPr>
          <w:b/>
          <w:bCs/>
        </w:rPr>
        <w:t>Boundary datastores now appear</w:t>
      </w:r>
      <w:r>
        <w:t xml:space="preserve"> (P-34) — anything at exactly 90.00, 89.99, 80.00 or 70.00 percent.</w:t>
      </w:r>
    </w:p>
    <w:p w14:paraId="332F0C91" w14:textId="77777777" w:rsidR="00F04A94" w:rsidRDefault="00DF6B0B">
      <w:pPr>
        <w:pStyle w:val="Compact"/>
        <w:numPr>
          <w:ilvl w:val="0"/>
          <w:numId w:val="5"/>
        </w:numPr>
      </w:pPr>
      <w:r>
        <w:rPr>
          <w:b/>
          <w:bCs/>
        </w:rPr>
        <w:t>New columns</w:t>
      </w:r>
      <w:r>
        <w:t xml:space="preserve"> </w:t>
      </w:r>
      <w:r>
        <w:t>(P-39) — Datacenter, Datastore Cluster, Type, Overcommitted.</w:t>
      </w:r>
    </w:p>
    <w:p w14:paraId="2F01D325" w14:textId="77777777" w:rsidR="00F04A94" w:rsidRDefault="00DF6B0B">
      <w:pPr>
        <w:pStyle w:val="Compact"/>
        <w:numPr>
          <w:ilvl w:val="0"/>
          <w:numId w:val="5"/>
        </w:numPr>
      </w:pPr>
      <w:r>
        <w:rPr>
          <w:b/>
          <w:bCs/>
        </w:rPr>
        <w:t>A styled report</w:t>
      </w:r>
      <w:r>
        <w:t xml:space="preserve"> (P-39).</w:t>
      </w:r>
    </w:p>
    <w:p w14:paraId="740DFC51" w14:textId="77777777" w:rsidR="00F04A94" w:rsidRDefault="00DF6B0B">
      <w:pPr>
        <w:pStyle w:val="Compact"/>
        <w:numPr>
          <w:ilvl w:val="0"/>
          <w:numId w:val="5"/>
        </w:numPr>
      </w:pPr>
      <w:r>
        <w:rPr>
          <w:b/>
          <w:bCs/>
        </w:rPr>
        <w:t>A report arrives even when a vCenter is unreachable</w:t>
      </w:r>
      <w:r>
        <w:t xml:space="preserve"> (P-35), and declares the gap on its face (P-38).</w:t>
      </w:r>
    </w:p>
    <w:p w14:paraId="5795B360" w14:textId="77777777" w:rsidR="00F04A94" w:rsidRDefault="00DF6B0B">
      <w:pPr>
        <w:pStyle w:val="FirstParagraph"/>
      </w:pPr>
      <w:r>
        <w:rPr>
          <w:b/>
          <w:bCs/>
        </w:rPr>
        <w:t>The comparison to run.</w:t>
      </w:r>
      <w:r>
        <w:t xml:space="preserve"> Take the row set from each report, keyed on vCenter + datastore name. The correct result is that the new report is a </w:t>
      </w:r>
      <w:r>
        <w:rPr>
          <w:b/>
          <w:bCs/>
        </w:rPr>
        <w:t>strict superset</w:t>
      </w:r>
      <w:r>
        <w:t xml:space="preserve"> of the old one: nothing that appears today should disappear. Anything that </w:t>
      </w:r>
      <w:r>
        <w:rPr>
          <w:i/>
          <w:iCs/>
        </w:rPr>
        <w:t>does</w:t>
      </w:r>
      <w:r>
        <w:t xml:space="preserve"> disappear is a genuine regression and should be raised — that assertion is </w:t>
      </w:r>
      <w:r>
        <w:t>enforced as test T-23 in the lab harness and must also hold in production.</w:t>
      </w:r>
    </w:p>
    <w:p w14:paraId="250F3EC5" w14:textId="77777777" w:rsidR="00F04A94" w:rsidRDefault="00DF6B0B">
      <w:pPr>
        <w:pStyle w:val="BodyText"/>
      </w:pPr>
      <w:r>
        <w:rPr>
          <w:b/>
          <w:bCs/>
        </w:rPr>
        <w:t>Do not compare counts.</w:t>
      </w:r>
      <w:r>
        <w:t xml:space="preserve"> The counts are expected to differ substantially and the difference is the point. Compare membership.</w:t>
      </w:r>
    </w:p>
    <w:p w14:paraId="54E7DDB0" w14:textId="77777777" w:rsidR="00F04A94" w:rsidRDefault="00DF6B0B">
      <w:r>
        <w:pict w14:anchorId="4D105ED8">
          <v:rect id="_x0000_i1031" style="width:0;height:1.5pt" o:hralign="center" o:hrstd="t" o:hr="t"/>
        </w:pict>
      </w:r>
    </w:p>
    <w:p w14:paraId="5E3085C6" w14:textId="77777777" w:rsidR="00F04A94" w:rsidRDefault="00DF6B0B">
      <w:pPr>
        <w:pStyle w:val="Heading2"/>
      </w:pPr>
      <w:bookmarkStart w:id="22" w:name="revision-history"/>
      <w:bookmarkStart w:id="23" w:name="_Toc237519994"/>
      <w:bookmarkEnd w:id="20"/>
      <w:r>
        <w:t>Revision history</w:t>
      </w:r>
      <w:bookmarkEnd w:id="23"/>
    </w:p>
    <w:tbl>
      <w:tblPr>
        <w:tblStyle w:val="Table"/>
        <w:tblW w:w="0" w:type="auto"/>
        <w:tblLook w:val="0020" w:firstRow="1" w:lastRow="0" w:firstColumn="0" w:lastColumn="0" w:noHBand="0" w:noVBand="0"/>
      </w:tblPr>
      <w:tblGrid>
        <w:gridCol w:w="803"/>
        <w:gridCol w:w="1415"/>
        <w:gridCol w:w="7358"/>
      </w:tblGrid>
      <w:tr w:rsidR="00F04A94" w14:paraId="780ECAEB" w14:textId="77777777" w:rsidTr="00F04A94">
        <w:trPr>
          <w:cnfStyle w:val="100000000000" w:firstRow="1" w:lastRow="0" w:firstColumn="0" w:lastColumn="0" w:oddVBand="0" w:evenVBand="0" w:oddHBand="0" w:evenHBand="0" w:firstRowFirstColumn="0" w:firstRowLastColumn="0" w:lastRowFirstColumn="0" w:lastRowLastColumn="0"/>
          <w:tblHeader/>
        </w:trPr>
        <w:tc>
          <w:tcPr>
            <w:tcW w:w="0" w:type="auto"/>
          </w:tcPr>
          <w:p w14:paraId="0688D8CC" w14:textId="77777777" w:rsidR="00F04A94" w:rsidRDefault="00DF6B0B">
            <w:pPr>
              <w:pStyle w:val="Compact"/>
            </w:pPr>
            <w:r>
              <w:t>Date</w:t>
            </w:r>
          </w:p>
        </w:tc>
        <w:tc>
          <w:tcPr>
            <w:tcW w:w="0" w:type="auto"/>
          </w:tcPr>
          <w:p w14:paraId="4AF1B1BF" w14:textId="77777777" w:rsidR="00F04A94" w:rsidRDefault="00DF6B0B">
            <w:pPr>
              <w:pStyle w:val="Compact"/>
            </w:pPr>
            <w:r>
              <w:t>Author</w:t>
            </w:r>
          </w:p>
        </w:tc>
        <w:tc>
          <w:tcPr>
            <w:tcW w:w="0" w:type="auto"/>
          </w:tcPr>
          <w:p w14:paraId="353CC999" w14:textId="77777777" w:rsidR="00F04A94" w:rsidRDefault="00DF6B0B">
            <w:pPr>
              <w:pStyle w:val="Compact"/>
            </w:pPr>
            <w:r>
              <w:t>Summary</w:t>
            </w:r>
          </w:p>
        </w:tc>
      </w:tr>
      <w:tr w:rsidR="00F04A94" w14:paraId="5424A745" w14:textId="77777777">
        <w:tc>
          <w:tcPr>
            <w:tcW w:w="0" w:type="auto"/>
          </w:tcPr>
          <w:p w14:paraId="6A8B9F7E" w14:textId="77777777" w:rsidR="00F04A94" w:rsidRDefault="00DF6B0B">
            <w:pPr>
              <w:pStyle w:val="Compact"/>
            </w:pPr>
            <w:r>
              <w:t>2026-08-13</w:t>
            </w:r>
          </w:p>
        </w:tc>
        <w:tc>
          <w:tcPr>
            <w:tcW w:w="0" w:type="auto"/>
          </w:tcPr>
          <w:p w14:paraId="09728403" w14:textId="77777777" w:rsidR="00F04A94" w:rsidRDefault="00DF6B0B">
            <w:pPr>
              <w:pStyle w:val="Compact"/>
            </w:pPr>
            <w:r>
              <w:t>Automation transition</w:t>
            </w:r>
          </w:p>
        </w:tc>
        <w:tc>
          <w:tcPr>
            <w:tcW w:w="0" w:type="auto"/>
          </w:tcPr>
          <w:p w14:paraId="093F1566" w14:textId="77777777" w:rsidR="00F04A94" w:rsidRDefault="00DF6B0B">
            <w:pPr>
              <w:pStyle w:val="Compact"/>
            </w:pPr>
            <w:r>
              <w:rPr>
                <w:b/>
                <w:bCs/>
              </w:rPr>
              <w:t xml:space="preserve">Re-baselined against </w:t>
            </w:r>
            <w:r>
              <w:rPr>
                <w:rStyle w:val="VerbatimChar"/>
                <w:b/>
                <w:bCs/>
              </w:rPr>
              <w:t>cvs_50_100.ps1</w:t>
            </w:r>
            <w:r>
              <w:rPr>
                <w:b/>
                <w:bCs/>
              </w:rPr>
              <w:t xml:space="preserve"> (Gen 2)</w:t>
            </w:r>
            <w:r>
              <w:t xml:space="preserve">, found in </w:t>
            </w:r>
            <w:r>
              <w:rPr>
                <w:rStyle w:val="VerbatimChar"/>
              </w:rPr>
              <w:t>GitLab-Repos-Sanitized</w:t>
            </w:r>
            <w:r>
              <w:t xml:space="preserve"> and confirmed newer than the </w:t>
            </w:r>
            <w:r>
              <w:rPr>
                <w:rStyle w:val="VerbatimChar"/>
              </w:rPr>
              <w:t>cvs_functions.ps1</w:t>
            </w:r>
            <w:r>
              <w:t xml:space="preserve"> case this register was originally written against. Added §1D generation matrix. </w:t>
            </w:r>
            <w:r>
              <w:rPr>
                <w:b/>
                <w:bCs/>
              </w:rPr>
              <w:t>Withdrew the divide-by-zero defect claim</w:t>
            </w:r>
            <w:r>
              <w:t xml:space="preserve"> (already fixed in Gen 2) and </w:t>
            </w:r>
            <w:r>
              <w:rPr>
                <w:b/>
                <w:bCs/>
              </w:rPr>
              <w:t>withdrew the "no stylesheet" claim</w:t>
            </w:r>
            <w:r>
              <w:t xml:space="preserve"> (Gen 2 has a well-built Outlook-safe formatter). </w:t>
            </w:r>
            <w:r>
              <w:rPr>
                <w:b/>
                <w:bCs/>
              </w:rPr>
              <w:t>Narrowed the unreachable-vCenter claim</w:t>
            </w:r>
            <w:r>
              <w:t xml:space="preserve"> to authentication and certificate failures, which Gen 2's TCP/443 preflight does not cover. Rewrote P-35 and P-39 accordingly, added </w:t>
            </w:r>
            <w:r>
              <w:rPr>
                <w:b/>
                <w:bCs/>
              </w:rPr>
              <w:t>P-44</w:t>
            </w:r>
            <w:r>
              <w:t xml:space="preserve"> (vCenter certificate validation, disabled in Gen 2 by </w:t>
            </w:r>
            <w:r>
              <w:rPr>
                <w:rStyle w:val="VerbatimChar"/>
              </w:rPr>
              <w:t>-InvalidCertificateAction Ignore</w:t>
            </w:r>
            <w:r>
              <w:t xml:space="preserve">), and added open items 9–11. The vRO renderer was rebuilt to adopt Gen 2's inline-style approach after review showed the first revision's </w:t>
            </w:r>
            <w:r>
              <w:rPr>
                <w:rStyle w:val="VerbatimChar"/>
              </w:rPr>
              <w:t>&lt;style&gt;</w:t>
            </w:r>
            <w:r>
              <w:t xml:space="preserve"> block would have regressed Outlook rendering.</w:t>
            </w:r>
          </w:p>
        </w:tc>
      </w:tr>
      <w:tr w:rsidR="00F04A94" w14:paraId="204800B3" w14:textId="77777777">
        <w:tc>
          <w:tcPr>
            <w:tcW w:w="0" w:type="auto"/>
          </w:tcPr>
          <w:p w14:paraId="1D31EB45" w14:textId="77777777" w:rsidR="00F04A94" w:rsidRDefault="00DF6B0B">
            <w:pPr>
              <w:pStyle w:val="Compact"/>
            </w:pPr>
            <w:r>
              <w:t>2026-08-10</w:t>
            </w:r>
          </w:p>
        </w:tc>
        <w:tc>
          <w:tcPr>
            <w:tcW w:w="0" w:type="auto"/>
          </w:tcPr>
          <w:p w14:paraId="1F1B6A72" w14:textId="77777777" w:rsidR="00F04A94" w:rsidRDefault="00DF6B0B">
            <w:pPr>
              <w:pStyle w:val="Compact"/>
            </w:pPr>
            <w:r>
              <w:t>Automation transition</w:t>
            </w:r>
          </w:p>
        </w:tc>
        <w:tc>
          <w:tcPr>
            <w:tcW w:w="0" w:type="auto"/>
          </w:tcPr>
          <w:p w14:paraId="79CF499D" w14:textId="77777777" w:rsidR="00F04A94" w:rsidRDefault="00DF6B0B">
            <w:pPr>
              <w:pStyle w:val="Compact"/>
            </w:pPr>
            <w:r>
              <w:t xml:space="preserve">Register created. Recorded the current state of </w:t>
            </w:r>
            <w:r>
              <w:rPr>
                <w:rStyle w:val="VerbatimChar"/>
              </w:rPr>
              <w:t>get_datastores_75_100_used.yml</w:t>
            </w:r>
            <w:r>
              <w:t xml:space="preserve"> and the </w:t>
            </w:r>
            <w:r>
              <w:rPr>
                <w:rStyle w:val="VerbatimChar"/>
              </w:rPr>
              <w:t>get_datastores_75_100_used</w:t>
            </w:r>
            <w:r>
              <w:t xml:space="preserve"> script case, six pre-existing silent defects (§1A), two configuration observations for customer decision (§1B), and process changes </w:t>
            </w:r>
            <w:r>
              <w:rPr>
                <w:b/>
                <w:bCs/>
              </w:rPr>
              <w:t>P-33 … P-43</w:t>
            </w:r>
            <w:r>
              <w:t xml:space="preserve">. Confirmed </w:t>
            </w:r>
            <w:r>
              <w:rPr>
                <w:b/>
                <w:bCs/>
              </w:rPr>
              <w:t xml:space="preserve">no </w:t>
            </w:r>
            <w:r>
              <w:rPr>
                <w:rStyle w:val="VerbatimChar"/>
                <w:b/>
                <w:bCs/>
              </w:rPr>
              <w:t>S-</w:t>
            </w:r>
            <w:r>
              <w:rPr>
                <w:b/>
                <w:bCs/>
              </w:rPr>
              <w:t xml:space="preserve"> changes</w:t>
            </w:r>
            <w:r>
              <w:t xml:space="preserve">: this deliverable is vCenter-native and does not touch </w:t>
            </w:r>
            <w:r>
              <w:rPr>
                <w:rStyle w:val="VerbatimChar"/>
              </w:rPr>
              <w:t>cvs_functions.ps1</w:t>
            </w:r>
            <w:r>
              <w:t>.</w:t>
            </w:r>
          </w:p>
        </w:tc>
      </w:tr>
      <w:bookmarkEnd w:id="0"/>
      <w:bookmarkEnd w:id="22"/>
    </w:tbl>
    <w:p w14:paraId="054FA5D4" w14:textId="77777777" w:rsidR="00DF6B0B" w:rsidRDefault="00DF6B0B"/>
    <w:sectPr w:rsidR="00DF6B0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641C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6FC5B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F88CE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9428822">
    <w:abstractNumId w:val="0"/>
  </w:num>
  <w:num w:numId="2" w16cid:durableId="1582982593">
    <w:abstractNumId w:val="1"/>
  </w:num>
  <w:num w:numId="3" w16cid:durableId="1617449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49173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31955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04A94"/>
    <w:rsid w:val="00585E7A"/>
    <w:rsid w:val="009C75A5"/>
    <w:rsid w:val="00DF6B0B"/>
    <w:rsid w:val="00F04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EAE18"/>
  <w15:docId w15:val="{23F2F401-3042-4B66-9544-C960D5643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76" w:lineRule="auto"/>
    </w:pPr>
    <w:rPr>
      <w:rFonts w:ascii="Calibri" w:eastAsia="Calibri" w:hAnsi="Calibri" w:cs="Calibri"/>
      <w:color w:val="000000"/>
      <w:sz w:val="22"/>
    </w:rPr>
  </w:style>
  <w:style w:type="paragraph" w:styleId="Heading1">
    <w:name w:val="heading 1"/>
    <w:basedOn w:val="Normal"/>
    <w:next w:val="BodyText"/>
    <w:link w:val="Heading1Char"/>
    <w:uiPriority w:val="9"/>
    <w:qFormat/>
    <w:rsid w:val="00A10FD9"/>
    <w:pPr>
      <w:keepNext/>
      <w:keepLines/>
      <w:spacing w:before="400" w:after="120" w:line="252" w:lineRule="auto"/>
      <w:outlineLvl w:val="0"/>
    </w:pPr>
    <w:rPr>
      <w:rFonts w:ascii="Calibri Light" w:eastAsia="Calibri Light" w:hAnsi="Calibri Light" w:cs="Calibri Light"/>
      <w:color w:val="1F3864"/>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line="252" w:lineRule="auto"/>
      <w:outlineLvl w:val="1"/>
    </w:pPr>
    <w:rPr>
      <w:rFonts w:ascii="Calibri Light" w:eastAsia="Calibri Light" w:hAnsi="Calibri Light" w:cs="Calibri Light"/>
      <w:color w:val="2E5C8A"/>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line="252" w:lineRule="auto"/>
      <w:outlineLvl w:val="2"/>
    </w:pPr>
    <w:rPr>
      <w:rFonts w:ascii="Calibri Light" w:eastAsia="Calibri Light" w:hAnsi="Calibri Light" w:cs="Calibri Light"/>
      <w:b/>
      <w:color w:val="44546A"/>
      <w:sz w:val="26"/>
      <w:szCs w:val="28"/>
    </w:rPr>
  </w:style>
  <w:style w:type="paragraph" w:styleId="Heading4">
    <w:name w:val="heading 4"/>
    <w:basedOn w:val="Normal"/>
    <w:next w:val="BodyText"/>
    <w:link w:val="Heading4Char"/>
    <w:uiPriority w:val="9"/>
    <w:semiHidden/>
    <w:unhideWhenUsed/>
    <w:qFormat/>
    <w:rsid w:val="00A10FD9"/>
    <w:pPr>
      <w:keepNext/>
      <w:keepLines/>
      <w:spacing w:before="200" w:after="80" w:line="252" w:lineRule="auto"/>
      <w:outlineLvl w:val="3"/>
    </w:pPr>
    <w:rPr>
      <w:b/>
      <w:i/>
      <w:iCs/>
      <w:color w:val="44546A"/>
    </w:rPr>
  </w:style>
  <w:style w:type="paragraph" w:styleId="Heading5">
    <w:name w:val="heading 5"/>
    <w:basedOn w:val="Normal"/>
    <w:next w:val="BodyText"/>
    <w:link w:val="Heading5Char"/>
    <w:uiPriority w:val="9"/>
    <w:semiHidden/>
    <w:unhideWhenUsed/>
    <w:qFormat/>
    <w:rsid w:val="00A10FD9"/>
    <w:pPr>
      <w:keepNext/>
      <w:keepLines/>
      <w:spacing w:before="200" w:after="80" w:line="252" w:lineRule="auto"/>
      <w:outlineLvl w:val="4"/>
    </w:pPr>
    <w:rPr>
      <w:b/>
      <w:color w:val="595959"/>
    </w:rPr>
  </w:style>
  <w:style w:type="paragraph" w:styleId="Heading6">
    <w:name w:val="heading 6"/>
    <w:basedOn w:val="Normal"/>
    <w:next w:val="BodyText"/>
    <w:link w:val="Heading6Char"/>
    <w:uiPriority w:val="9"/>
    <w:semiHidden/>
    <w:unhideWhenUsed/>
    <w:qFormat/>
    <w:rsid w:val="00A10FD9"/>
    <w:pPr>
      <w:keepNext/>
      <w:keepLines/>
      <w:spacing w:before="200" w:after="80" w:line="252" w:lineRule="auto"/>
      <w:outlineLvl w:val="5"/>
    </w:pPr>
    <w:rPr>
      <w:b/>
      <w:i/>
      <w:iCs/>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80"/>
    </w:pPr>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keepNext/>
      <w:spacing w:after="240" w:line="252" w:lineRule="auto"/>
      <w:contextualSpacing/>
      <w:jc w:val="center"/>
    </w:pPr>
    <w:rPr>
      <w:rFonts w:ascii="Calibri Light" w:eastAsia="Calibri Light" w:hAnsi="Calibri Light" w:cs="Calibri Light"/>
      <w:color w:val="1F3864"/>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320"/>
    </w:pPr>
    <w:rPr>
      <w:color w:val="44546A"/>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rPr>
      <w:color w:val="404040"/>
      <w:sz w:val="21"/>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rFonts w:ascii="Calibri" w:eastAsia="Calibri" w:hAnsi="Calibri" w:cs="Calibri"/>
      <w:sz w:val="20"/>
      <w:szCs w:val="20"/>
      <w:lang w:eastAsia="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95959"/>
      <w:sz w:val="18"/>
    </w:rPr>
  </w:style>
  <w:style w:type="paragraph" w:customStyle="1" w:styleId="ImageCaption">
    <w:name w:val="Image Caption"/>
    <w:basedOn w:val="Caption"/>
    <w:rPr>
      <w:color w:val="595959"/>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1F1F1F"/>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sz w:val="36"/>
    </w:rPr>
  </w:style>
  <w:style w:type="paragraph" w:customStyle="1" w:styleId="SourceCode">
    <w:name w:val="Source Code"/>
    <w:basedOn w:val="Normal"/>
    <w:link w:val="VerbatimChar"/>
    <w:pPr>
      <w:wordWrap w:val="0"/>
      <w:spacing w:before="120" w:after="200" w:line="240" w:lineRule="auto"/>
    </w:pPr>
    <w:rPr>
      <w:rFonts w:ascii="Consolas" w:eastAsia="Consolas" w:hAnsi="Consolas" w:cs="Consolas"/>
      <w:color w:val="1F1F1F"/>
      <w:sz w:val="19"/>
    </w:r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1F1F1F"/>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1F1F1F"/>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1F1F1F"/>
      <w:sz w:val="19"/>
    </w:rPr>
  </w:style>
  <w:style w:type="paragraph" w:styleId="TOC1">
    <w:name w:val="toc 1"/>
    <w:basedOn w:val="Normal"/>
    <w:next w:val="Normal"/>
    <w:autoRedefine/>
    <w:uiPriority w:val="39"/>
    <w:rsid w:val="00585E7A"/>
    <w:pPr>
      <w:spacing w:after="100"/>
    </w:pPr>
  </w:style>
  <w:style w:type="paragraph" w:styleId="TOC2">
    <w:name w:val="toc 2"/>
    <w:basedOn w:val="Normal"/>
    <w:next w:val="Normal"/>
    <w:autoRedefine/>
    <w:uiPriority w:val="39"/>
    <w:rsid w:val="00585E7A"/>
    <w:pPr>
      <w:spacing w:after="100"/>
      <w:ind w:left="220"/>
    </w:pPr>
  </w:style>
  <w:style w:type="paragraph" w:styleId="TOC3">
    <w:name w:val="toc 3"/>
    <w:basedOn w:val="Normal"/>
    <w:next w:val="Normal"/>
    <w:autoRedefine/>
    <w:uiPriority w:val="39"/>
    <w:rsid w:val="00585E7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3617</Words>
  <Characters>20620</Characters>
  <Application>Microsoft Office Word</Application>
  <DocSecurity>0</DocSecurity>
  <Lines>171</Lines>
  <Paragraphs>48</Paragraphs>
  <ScaleCrop>false</ScaleCrop>
  <Company/>
  <LinksUpToDate>false</LinksUpToDate>
  <CharactersWithSpaces>24189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Jeremy Forguson</cp:lastModifiedBy>
  <cp:revision>2</cp:revision>
  <dcterms:created xsi:type="dcterms:W3CDTF">2026-08-13T17:23:00Z</dcterms:created>
  <dcterms:modified xsi:type="dcterms:W3CDTF">2026-08-13T17:23:00Z</dcterms:modified>
</cp:coreProperties>
</file>