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pBdr>
          <w:bottom w:val="single" w:color="0891B2" w:sz="8" w:space="8"/>
        </w:pBdr>
        <w:spacing w:after="80"/>
      </w:pPr>
      <w:r>
        <w:rPr>
          <w:rFonts w:ascii="Arial" w:cs="Arial" w:eastAsia="Arial" w:hAnsi="Arial"/>
          <w:b/>
          <w:bCs/>
          <w:color w:val="0891B2"/>
          <w:sz w:val="60"/>
          <w:szCs w:val="60"/>
        </w:rPr>
        <w:t xml:space="preserve">FORJ</w:t>
      </w:r>
    </w:p>
    <w:p>
      <w:pPr>
        <w:spacing w:before="200"/>
      </w:pPr>
    </w:p>
    <w:p>
      <w:r>
        <w:rPr>
          <w:rFonts w:ascii="Arial" w:cs="Arial" w:eastAsia="Arial" w:hAnsi="Arial"/>
          <w:b/>
          <w:bCs/>
          <w:color w:val="0F1B2D"/>
          <w:sz w:val="44"/>
          <w:szCs w:val="44"/>
        </w:rPr>
        <w:t xml:space="preserve">Registered Agent Service Playbook</w:t>
      </w:r>
    </w:p>
    <w:p>
      <w:pPr>
        <w:spacing w:before="80"/>
      </w:pPr>
    </w:p>
    <w:p>
      <w:r>
        <w:rPr>
          <w:rFonts w:ascii="Arial" w:cs="Arial" w:eastAsia="Arial" w:hAnsi="Arial"/>
          <w:color w:val="64748B"/>
          <w:sz w:val="24"/>
          <w:szCs w:val="24"/>
        </w:rPr>
        <w:t xml:space="preserve">Delaware-First Strategy for Disrupting the Registered Agent Market</w:t>
      </w:r>
    </w:p>
    <w:p>
      <w:pPr>
        <w:spacing w:before="600"/>
      </w:pPr>
    </w:p>
    <w:p>
      <w:r>
        <w:rPr>
          <w:rFonts w:ascii="Arial" w:cs="Arial" w:eastAsia="Arial" w:hAnsi="Arial"/>
          <w:color w:val="64748B"/>
          <w:sz w:val="20"/>
          <w:szCs w:val="20"/>
        </w:rPr>
        <w:t xml:space="preserve">Confidential  |  March 2026</w:t>
      </w:r>
    </w:p>
    <w:p>
      <w:r>
        <w:rPr>
          <w:rFonts w:ascii="Arial" w:cs="Arial" w:eastAsia="Arial" w:hAnsi="Arial"/>
          <w:color w:val="64748B"/>
          <w:sz w:val="20"/>
          <w:szCs w:val="20"/>
        </w:rPr>
        <w:t xml:space="preserve">Daniel Dewar</w:t>
      </w:r>
    </w:p>
    <w:p>
      <w:pPr>
        <w:sectPr>
          <w:pgSz w:w="12240" w:h="15840" w:orient="portrait"/>
          <w:pgMar w:top="1440" w:right="1440" w:bottom="1440" w:left="1440" w:header="708" w:footer="708" w:gutter="0"/>
          <w:pgNumType/>
          <w:docGrid w:linePitch="360"/>
        </w:sectPr>
      </w:pPr>
    </w:p>
    <w:p>
      <w:pPr>
        <w:pStyle w:val="Heading1"/>
      </w:pPr>
      <w:r>
        <w:t xml:space="preserve">1. Executive Summary</w:t>
      </w:r>
    </w:p>
    <w:p>
      <w:pPr>
        <w:spacing w:after="160"/>
      </w:pPr>
      <w:r>
        <w:t xml:space="preserve">Every Delaware C-Corp needs a registered agent. It is a legal requirement, not optional. Yet the market is dominated by incumbents with Trustpilot scores below 2.0, pricing opacity, and interfaces that feel pulled from the early 2000s. With roughly 290,000 new entities formed in Delaware annually and over 2.1 million active entities on file, even a thin slice of this market represents meaningful recurring revenue.</w:t>
      </w:r>
    </w:p>
    <w:p>
      <w:pPr>
        <w:spacing w:after="160"/>
      </w:pPr>
      <w:r>
        <w:t xml:space="preserve">Forj is uniquely positioned to capture this market. Every user of the Forj infrastructure CLI has just incorporated a Delaware company (typically via Stripe Atlas) and is actively setting up their project infrastructure. They </w:t>
      </w:r>
      <w:r>
        <w:rPr>
          <w:b/>
          <w:bCs/>
        </w:rPr>
        <w:t xml:space="preserve">legally require</w:t>
      </w:r>
      <w:r>
        <w:t xml:space="preserve"> a registered agent at that exact moment. The infrastructure tool becomes a zero-CAC acquisition channel for a high-retention compliance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891B2" w:sz="12"/>
              <w:bottom w:val="none" w:color="FFFFFF" w:sz="0"/>
              <w:right w:val="none" w:color="FFFFFF" w:sz="0"/>
            </w:tcBorders>
            <w:shd w:fill="F0F4F8" w:val="clear"/>
            <w:tcMar>
              <w:top w:type="dxa" w:w="120"/>
              <w:left w:type="dxa" w:w="200"/>
              <w:bottom w:type="dxa" w:w="120"/>
              <w:right w:type="dxa" w:w="200"/>
            </w:tcMar>
          </w:tcPr>
          <w:p>
            <w:r>
              <w:rPr>
                <w:rFonts w:ascii="Arial" w:cs="Arial" w:eastAsia="Arial" w:hAnsi="Arial"/>
                <w:i/>
                <w:iCs/>
                <w:color w:val="334155"/>
                <w:sz w:val="20"/>
                <w:szCs w:val="20"/>
              </w:rPr>
              <w:t xml:space="preserve">The strategic thesis: Build the infrastructure tool to capture founders at their moment of highest need. Monetize with the registered agent service. Delaware-only keeps operations simple while the model is validated.</w:t>
            </w:r>
          </w:p>
        </w:tc>
      </w:tr>
    </w:tbl>
    <w:p>
      <w:pPr>
        <w:pBdr>
          <w:bottom w:val="single" w:color="0891B2" w:sz="6" w:space="1"/>
        </w:pBdr>
        <w:spacing w:after="200" w:before="200"/>
      </w:pPr>
    </w:p>
    <w:p>
      <w:pPr>
        <w:pStyle w:val="Heading1"/>
      </w:pPr>
      <w:r>
        <w:t xml:space="preserve">2. Market Landscape</w:t>
      </w:r>
    </w:p>
    <w:p>
      <w:pPr>
        <w:pStyle w:val="Heading2"/>
      </w:pPr>
      <w:r>
        <w:t xml:space="preserve">2.1 Delaware by the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0F1B2D"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680"/>
            <w:tcBorders>
              <w:top w:val="single" w:color="CBD5E1" w:sz="1"/>
              <w:left w:val="single" w:color="CBD5E1" w:sz="1"/>
              <w:bottom w:val="single" w:color="CBD5E1" w:sz="1"/>
              <w:right w:val="single" w:color="CBD5E1" w:sz="1"/>
            </w:tcBorders>
            <w:shd w:fill="0F1B2D"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New entities formed (2024)</w:t>
            </w:r>
          </w:p>
        </w:tc>
        <w:tc>
          <w:tcPr>
            <w:tcW w:type="dxa" w:w="4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20"/>
                <w:szCs w:val="20"/>
              </w:rPr>
              <w:t xml:space="preserve">289,810</w:t>
            </w:r>
          </w:p>
        </w:tc>
      </w:tr>
      <w:tr>
        <w:tc>
          <w:tcPr>
            <w:tcW w:type="dxa" w:w="4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Active entities on file</w:t>
            </w:r>
          </w:p>
        </w:tc>
        <w:tc>
          <w:tcPr>
            <w:tcW w:type="dxa" w:w="4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20"/>
                <w:szCs w:val="20"/>
              </w:rPr>
              <w:t xml:space="preserve">2.1 million+</w:t>
            </w:r>
          </w:p>
        </w:tc>
      </w:tr>
      <w:tr>
        <w:tc>
          <w:tcPr>
            <w:tcW w:type="dxa" w:w="4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Fortune 500 incorporated in DE</w:t>
            </w:r>
          </w:p>
        </w:tc>
        <w:tc>
          <w:tcPr>
            <w:tcW w:type="dxa" w:w="4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20"/>
                <w:szCs w:val="20"/>
              </w:rPr>
              <w:t xml:space="preserve">~60%</w:t>
            </w:r>
          </w:p>
        </w:tc>
      </w:tr>
      <w:tr>
        <w:tc>
          <w:tcPr>
            <w:tcW w:type="dxa" w:w="4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IPOs choosing Delaware (2024)</w:t>
            </w:r>
          </w:p>
        </w:tc>
        <w:tc>
          <w:tcPr>
            <w:tcW w:type="dxa" w:w="4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20"/>
                <w:szCs w:val="20"/>
              </w:rPr>
              <w:t xml:space="preserve">81%</w:t>
            </w:r>
          </w:p>
        </w:tc>
      </w:tr>
      <w:tr>
        <w:tc>
          <w:tcPr>
            <w:tcW w:type="dxa" w:w="4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LLC annual tax</w:t>
            </w:r>
          </w:p>
        </w:tc>
        <w:tc>
          <w:tcPr>
            <w:tcW w:type="dxa" w:w="4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20"/>
                <w:szCs w:val="20"/>
              </w:rPr>
              <w:t xml:space="preserve">$300/year (due June 1)</w:t>
            </w:r>
          </w:p>
        </w:tc>
      </w:tr>
      <w:tr>
        <w:tc>
          <w:tcPr>
            <w:tcW w:type="dxa" w:w="4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Corp franchise tax + annual report</w:t>
            </w:r>
          </w:p>
        </w:tc>
        <w:tc>
          <w:tcPr>
            <w:tcW w:type="dxa" w:w="4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20"/>
                <w:szCs w:val="20"/>
              </w:rPr>
              <w:t xml:space="preserve">Due March 1 annually</w:t>
            </w:r>
          </w:p>
        </w:tc>
      </w:tr>
    </w:tbl>
    <w:p>
      <w:pPr>
        <w:spacing w:before="160"/>
      </w:pPr>
    </w:p>
    <w:p>
      <w:pPr>
        <w:spacing w:after="160"/>
      </w:pPr>
      <w:r>
        <w:t xml:space="preserve">Every single one of these entities is legally required to maintain a registered agent with a physical Delaware address. The agent receives service of process (lawsuits), state correspondence, and franchise tax notifications on the entity’s behalf.</w:t>
      </w:r>
    </w:p>
    <w:p>
      <w:pPr>
        <w:pStyle w:val="Heading2"/>
      </w:pPr>
      <w:r>
        <w:t xml:space="preserve">2.2 The Stripe Atlas Pipeline</w:t>
      </w:r>
    </w:p>
    <w:p>
      <w:pPr>
        <w:spacing w:after="160"/>
      </w:pPr>
      <w:r>
        <w:t xml:space="preserve">Stripe Atlas charges $500 upfront which includes one year of registered agent service (provided by a third-party agent). After year one, Atlas charges $100/year to maintain the agent. This creates a natural switching moment: at the one-year mark, founders re-evaluate whether to keep paying Atlas $100/year for a service they never interact with, or find an alternative. Forj can capture these founders either at initial incorporation (via the infrastructure CLI) or at the renewal decision point.</w:t>
      </w:r>
    </w:p>
    <w:p>
      <w:pPr>
        <w:pBdr>
          <w:bottom w:val="single" w:color="0891B2" w:sz="6" w:space="1"/>
        </w:pBdr>
        <w:spacing w:after="200" w:before="200"/>
      </w:pPr>
    </w:p>
    <w:p>
      <w:pPr>
        <w:pStyle w:val="Heading1"/>
      </w:pPr>
      <w:r>
        <w:t xml:space="preserve">3. Competitive Teardown</w:t>
      </w:r>
    </w:p>
    <w:p>
      <w:pPr>
        <w:spacing w:after="160"/>
      </w:pPr>
      <w:r>
        <w:t xml:space="preserve">The registered agent market segments into three tiers: enterprise incumbents charging premium prices for white-glove compliance, mid-market players bundling agent services with formation packages, and budget providers competing on price alone. All share common weaknesses that Forj can exploit.</w:t>
      </w:r>
    </w:p>
    <w:p>
      <w:pPr>
        <w:pStyle w:val="Heading2"/>
      </w:pPr>
      <w:r>
        <w:t xml:space="preserve">3.1 Enterprise Incumbents</w:t>
      </w:r>
    </w:p>
    <w:p>
      <w:pPr>
        <w:pStyle w:val="Heading3"/>
      </w:pPr>
      <w:r>
        <w:t xml:space="preserve">CT Corporation (Wolters Kluwer)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b/>
                <w:bCs/>
                <w:color w:val="1E293B"/>
                <w:sz w:val="20"/>
                <w:szCs w:val="20"/>
              </w:rPr>
              <w:t xml:space="preserve">Price</w:t>
            </w:r>
          </w:p>
        </w:tc>
        <w:tc>
          <w:tcPr>
            <w:tcW w:type="dxa" w:w="70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$374/year (standalone agent)</w:t>
            </w:r>
          </w:p>
        </w:tc>
      </w:tr>
      <w:tr>
        <w:tc>
          <w:tcPr>
            <w:tcW w:type="dxa" w:w="234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b/>
                <w:bCs/>
                <w:color w:val="1E293B"/>
                <w:sz w:val="20"/>
                <w:szCs w:val="20"/>
              </w:rPr>
              <w:t xml:space="preserve">Target</w:t>
            </w:r>
          </w:p>
        </w:tc>
        <w:tc>
          <w:tcPr>
            <w:tcW w:type="dxa" w:w="70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Enterprise, law firms, large compliance teams</w:t>
            </w:r>
          </w:p>
        </w:tc>
      </w:tr>
      <w:tr>
        <w:tc>
          <w:tcPr>
            <w:tcW w:type="dxa" w:w="234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b/>
                <w:bCs/>
                <w:color w:val="1E293B"/>
                <w:sz w:val="20"/>
                <w:szCs w:val="20"/>
              </w:rPr>
              <w:t xml:space="preserve">Strengths</w:t>
            </w:r>
          </w:p>
        </w:tc>
        <w:tc>
          <w:tcPr>
            <w:tcW w:type="dxa" w:w="70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50-state coverage, global presence, trusted brand among attorneys, fast turnaround</w:t>
            </w:r>
          </w:p>
        </w:tc>
      </w:tr>
      <w:tr>
        <w:tc>
          <w:tcPr>
            <w:tcW w:type="dxa" w:w="234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b/>
                <w:bCs/>
                <w:color w:val="1E293B"/>
                <w:sz w:val="20"/>
                <w:szCs w:val="20"/>
              </w:rPr>
              <w:t xml:space="preserve">Weaknesses</w:t>
            </w:r>
          </w:p>
        </w:tc>
        <w:tc>
          <w:tcPr>
            <w:tcW w:type="dxa" w:w="70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Pricing is 3-7x the market average. Interface is enterprise-grade complexity. Zero appeal to solo founders or early-stage startups. No self-serve onboarding.</w:t>
            </w:r>
          </w:p>
        </w:tc>
      </w:tr>
    </w:tbl>
    <w:p>
      <w:pPr>
        <w:spacing w:before="200"/>
      </w:pPr>
    </w:p>
    <w:p>
      <w:pPr>
        <w:pStyle w:val="Heading3"/>
      </w:pPr>
      <w:r>
        <w:t xml:space="preserve">CSC Global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b/>
                <w:bCs/>
                <w:color w:val="1E293B"/>
                <w:sz w:val="20"/>
                <w:szCs w:val="20"/>
              </w:rPr>
              <w:t xml:space="preserve">Price</w:t>
            </w:r>
          </w:p>
        </w:tc>
        <w:tc>
          <w:tcPr>
            <w:tcW w:type="dxa" w:w="70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~$299/year (varies by state and service tier)</w:t>
            </w:r>
          </w:p>
        </w:tc>
      </w:tr>
      <w:tr>
        <w:tc>
          <w:tcPr>
            <w:tcW w:type="dxa" w:w="234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b/>
                <w:bCs/>
                <w:color w:val="1E293B"/>
                <w:sz w:val="20"/>
                <w:szCs w:val="20"/>
              </w:rPr>
              <w:t xml:space="preserve">Target</w:t>
            </w:r>
          </w:p>
        </w:tc>
        <w:tc>
          <w:tcPr>
            <w:tcW w:type="dxa" w:w="70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Mid-market to enterprise, legal departments</w:t>
            </w:r>
          </w:p>
        </w:tc>
      </w:tr>
      <w:tr>
        <w:tc>
          <w:tcPr>
            <w:tcW w:type="dxa" w:w="234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b/>
                <w:bCs/>
                <w:color w:val="1E293B"/>
                <w:sz w:val="20"/>
                <w:szCs w:val="20"/>
              </w:rPr>
              <w:t xml:space="preserve">Trustpilot</w:t>
            </w:r>
          </w:p>
        </w:tc>
        <w:tc>
          <w:tcPr>
            <w:tcW w:type="dxa" w:w="70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DC2626"/>
                <w:sz w:val="20"/>
                <w:szCs w:val="20"/>
              </w:rPr>
              <w:t xml:space="preserve">1.7 / 5.0 stars</w:t>
            </w:r>
            <w:r>
              <w:rPr>
                <w:rFonts w:ascii="Arial" w:cs="Arial" w:eastAsia="Arial" w:hAnsi="Arial"/>
                <w:color w:val="64748B"/>
                <w:sz w:val="20"/>
                <w:szCs w:val="20"/>
              </w:rPr>
              <w:t xml:space="preserve">  |  BBB: 1.44 / 5.0</w:t>
            </w:r>
          </w:p>
        </w:tc>
      </w:tr>
      <w:tr>
        <w:tc>
          <w:tcPr>
            <w:tcW w:type="dxa" w:w="234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b/>
                <w:bCs/>
                <w:color w:val="1E293B"/>
                <w:sz w:val="20"/>
                <w:szCs w:val="20"/>
              </w:rPr>
              <w:t xml:space="preserve">Weaknesses</w:t>
            </w:r>
          </w:p>
        </w:tc>
        <w:tc>
          <w:tcPr>
            <w:tcW w:type="dxa" w:w="70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Billing disputes are the top complaint. Customers report filings not completed, unreachable customer service, and ignored refund requests. The low review scores represent a massive brand vulnerability.</w:t>
            </w:r>
          </w:p>
        </w:tc>
      </w:tr>
    </w:tbl>
    <w:p>
      <w:pPr>
        <w:spacing w:before="200"/>
      </w:pPr>
    </w:p>
    <w:p>
      <w:pPr>
        <w:pStyle w:val="Heading2"/>
      </w:pPr>
      <w:r>
        <w:t xml:space="preserve">3.2 Mid-Market Players</w:t>
      </w:r>
    </w:p>
    <w:p>
      <w:pPr>
        <w:pStyle w:val="Heading3"/>
      </w:pPr>
      <w:r>
        <w:t xml:space="preserve">LegalZoom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b/>
                <w:bCs/>
                <w:color w:val="1E293B"/>
                <w:sz w:val="20"/>
                <w:szCs w:val="20"/>
              </w:rPr>
              <w:t xml:space="preserve">Price</w:t>
            </w:r>
          </w:p>
        </w:tc>
        <w:tc>
          <w:tcPr>
            <w:tcW w:type="dxa" w:w="70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$249/year</w:t>
            </w:r>
          </w:p>
        </w:tc>
      </w:tr>
      <w:tr>
        <w:tc>
          <w:tcPr>
            <w:tcW w:type="dxa" w:w="234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b/>
                <w:bCs/>
                <w:color w:val="1E293B"/>
                <w:sz w:val="20"/>
                <w:szCs w:val="20"/>
              </w:rPr>
              <w:t xml:space="preserve">Position</w:t>
            </w:r>
          </w:p>
        </w:tc>
        <w:tc>
          <w:tcPr>
            <w:tcW w:type="dxa" w:w="70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Brand-name legal services for small business. Registered agent is cross-sold with formation packages.</w:t>
            </w:r>
          </w:p>
        </w:tc>
      </w:tr>
      <w:tr>
        <w:tc>
          <w:tcPr>
            <w:tcW w:type="dxa" w:w="234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b/>
                <w:bCs/>
                <w:color w:val="1E293B"/>
                <w:sz w:val="20"/>
                <w:szCs w:val="20"/>
              </w:rPr>
              <w:t xml:space="preserve">Weaknesses</w:t>
            </w:r>
          </w:p>
        </w:tc>
        <w:tc>
          <w:tcPr>
            <w:tcW w:type="dxa" w:w="70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Priced 66% above market average without additional value. Heavy upselling throughout the flow. The core agent product is undifferentiated. Targets non-technical small business owners, not startup founders.</w:t>
            </w:r>
          </w:p>
        </w:tc>
      </w:tr>
    </w:tbl>
    <w:p>
      <w:pPr>
        <w:spacing w:before="200"/>
      </w:pPr>
    </w:p>
    <w:p>
      <w:pPr>
        <w:pStyle w:val="Heading3"/>
      </w:pPr>
      <w:r>
        <w:t xml:space="preserve">ZenBusiness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b/>
                <w:bCs/>
                <w:color w:val="1E293B"/>
                <w:sz w:val="20"/>
                <w:szCs w:val="20"/>
              </w:rPr>
              <w:t xml:space="preserve">Price</w:t>
            </w:r>
          </w:p>
        </w:tc>
        <w:tc>
          <w:tcPr>
            <w:tcW w:type="dxa" w:w="70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$99 year one, $199/year renewal</w:t>
            </w:r>
          </w:p>
        </w:tc>
      </w:tr>
      <w:tr>
        <w:tc>
          <w:tcPr>
            <w:tcW w:type="dxa" w:w="234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b/>
                <w:bCs/>
                <w:color w:val="1E293B"/>
                <w:sz w:val="20"/>
                <w:szCs w:val="20"/>
              </w:rPr>
              <w:t xml:space="preserve">Position</w:t>
            </w:r>
          </w:p>
        </w:tc>
        <w:tc>
          <w:tcPr>
            <w:tcW w:type="dxa" w:w="70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Modern formation platform, bundles agent with LLC/Corp formation</w:t>
            </w:r>
          </w:p>
        </w:tc>
      </w:tr>
      <w:tr>
        <w:tc>
          <w:tcPr>
            <w:tcW w:type="dxa" w:w="234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b/>
                <w:bCs/>
                <w:color w:val="1E293B"/>
                <w:sz w:val="20"/>
                <w:szCs w:val="20"/>
              </w:rPr>
              <w:t xml:space="preserve">Weaknesses</w:t>
            </w:r>
          </w:p>
        </w:tc>
        <w:tc>
          <w:tcPr>
            <w:tcW w:type="dxa" w:w="70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Price doubles after year one (bait-and-switch). Core value prop is formation, not ongoing compliance. Dashboard focuses on selling add-ons rather than proactive compliance management.</w:t>
            </w:r>
          </w:p>
        </w:tc>
      </w:tr>
    </w:tbl>
    <w:p>
      <w:pPr>
        <w:spacing w:before="200"/>
      </w:pPr>
    </w:p>
    <w:p>
      <w:pPr>
        <w:pStyle w:val="Heading2"/>
      </w:pPr>
      <w:r>
        <w:t xml:space="preserve">3.3 Budget Providers</w:t>
      </w:r>
    </w:p>
    <w:p>
      <w:pPr>
        <w:pStyle w:val="Heading3"/>
      </w:pPr>
      <w:r>
        <w:t xml:space="preserve">Northwest Registered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b/>
                <w:bCs/>
                <w:color w:val="1E293B"/>
                <w:sz w:val="20"/>
                <w:szCs w:val="20"/>
              </w:rPr>
              <w:t xml:space="preserve">Price</w:t>
            </w:r>
          </w:p>
        </w:tc>
        <w:tc>
          <w:tcPr>
            <w:tcW w:type="dxa" w:w="70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$125/year</w:t>
            </w:r>
          </w:p>
        </w:tc>
      </w:tr>
      <w:tr>
        <w:tc>
          <w:tcPr>
            <w:tcW w:type="dxa" w:w="234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b/>
                <w:bCs/>
                <w:color w:val="1E293B"/>
                <w:sz w:val="20"/>
                <w:szCs w:val="20"/>
              </w:rPr>
              <w:t xml:space="preserve">Position</w:t>
            </w:r>
          </w:p>
        </w:tc>
        <w:tc>
          <w:tcPr>
            <w:tcW w:type="dxa" w:w="70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Best reviewed budget-to-mid option. Adding free business address, mail scanning, phone, domain, hosting, and email to their $39 formation fee (Jan 2026).</w:t>
            </w:r>
          </w:p>
        </w:tc>
      </w:tr>
      <w:tr>
        <w:tc>
          <w:tcPr>
            <w:tcW w:type="dxa" w:w="234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b/>
                <w:bCs/>
                <w:color w:val="1E293B"/>
                <w:sz w:val="20"/>
                <w:szCs w:val="20"/>
              </w:rPr>
              <w:t xml:space="preserve">Threat Level</w:t>
            </w:r>
          </w:p>
        </w:tc>
        <w:tc>
          <w:tcPr>
            <w:tcW w:type="dxa" w:w="70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DC2626"/>
                <w:sz w:val="20"/>
                <w:szCs w:val="20"/>
              </w:rPr>
              <w:t xml:space="preserve">HIGH</w:t>
            </w:r>
            <w:r>
              <w:rPr>
                <w:rFonts w:ascii="Arial" w:cs="Arial" w:eastAsia="Arial" w:hAnsi="Arial"/>
                <w:sz w:val="20"/>
                <w:szCs w:val="20"/>
              </w:rPr>
              <w:t xml:space="preserve"> — Most likely to eat share from below. But they’re a generalist serving all 50 states, all entity types. No startup-specific positioning or dev tooling integration.</w:t>
            </w:r>
          </w:p>
        </w:tc>
      </w:tr>
    </w:tbl>
    <w:p>
      <w:pPr>
        <w:spacing w:before="200"/>
      </w:pPr>
    </w:p>
    <w:p>
      <w:pPr>
        <w:pStyle w:val="Heading3"/>
      </w:pPr>
      <w:r>
        <w:t xml:space="preserve">Harvard Business Services / A Registered Agent, Inc.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b/>
                <w:bCs/>
                <w:color w:val="1E293B"/>
                <w:sz w:val="20"/>
                <w:szCs w:val="20"/>
              </w:rPr>
              <w:t xml:space="preserve">Price</w:t>
            </w:r>
          </w:p>
        </w:tc>
        <w:tc>
          <w:tcPr>
            <w:tcW w:type="dxa" w:w="70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$49–50/year (guaranteed for life)</w:t>
            </w:r>
          </w:p>
        </w:tc>
      </w:tr>
      <w:tr>
        <w:tc>
          <w:tcPr>
            <w:tcW w:type="dxa" w:w="234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b/>
                <w:bCs/>
                <w:color w:val="1E293B"/>
                <w:sz w:val="20"/>
                <w:szCs w:val="20"/>
              </w:rPr>
              <w:t xml:space="preserve">Position</w:t>
            </w:r>
          </w:p>
        </w:tc>
        <w:tc>
          <w:tcPr>
            <w:tcW w:type="dxa" w:w="70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Lowest-cost Delaware specialists. Rely on volume and local presence (Dover, DE).</w:t>
            </w:r>
          </w:p>
        </w:tc>
      </w:tr>
      <w:tr>
        <w:tc>
          <w:tcPr>
            <w:tcW w:type="dxa" w:w="234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b/>
                <w:bCs/>
                <w:color w:val="1E293B"/>
                <w:sz w:val="20"/>
                <w:szCs w:val="20"/>
              </w:rPr>
              <w:t xml:space="preserve">Weaknesses</w:t>
            </w:r>
          </w:p>
        </w:tc>
        <w:tc>
          <w:tcPr>
            <w:tcW w:type="dxa" w:w="70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Race-to-the-bottom pricing leaves no room for product investment. Basic portals. No API, no integrations, no proactive compliance features. These are filing mills.</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97706" w:sz="12"/>
              <w:bottom w:val="none" w:color="FFFFFF" w:sz="0"/>
              <w:right w:val="none" w:color="FFFFFF" w:sz="0"/>
            </w:tcBorders>
            <w:shd w:fill="F0F4F8" w:val="clear"/>
            <w:tcMar>
              <w:top w:type="dxa" w:w="120"/>
              <w:left w:type="dxa" w:w="200"/>
              <w:bottom w:type="dxa" w:w="120"/>
              <w:right w:type="dxa" w:w="200"/>
            </w:tcMar>
          </w:tcPr>
          <w:p>
            <w:r>
              <w:rPr>
                <w:rFonts w:ascii="Arial" w:cs="Arial" w:eastAsia="Arial" w:hAnsi="Arial"/>
                <w:i/>
                <w:iCs/>
                <w:color w:val="334155"/>
                <w:sz w:val="20"/>
                <w:szCs w:val="20"/>
              </w:rPr>
              <w:t xml:space="preserve">Key takeaway: No incumbent is building for startup founders who use Stripe Atlas, work in code, and expect modern SaaS experiences. The enterprise players are expensive and bloated. The budget players are cheap and bare-bones. The mid-market players are formation-focused with agent as an afterthought. The gap is a developer-native, startup-specific agent service at a fair price.</w:t>
            </w:r>
          </w:p>
        </w:tc>
      </w:tr>
    </w:tbl>
    <w:p>
      <w:pPr>
        <w:pBdr>
          <w:bottom w:val="single" w:color="0891B2" w:sz="6" w:space="1"/>
        </w:pBdr>
        <w:spacing w:after="200" w:before="200"/>
      </w:pPr>
    </w:p>
    <w:p>
      <w:pPr>
        <w:pStyle w:val="Heading1"/>
      </w:pPr>
      <w:r>
        <w:t xml:space="preserve">4. Differentiation &amp; USPs</w:t>
      </w:r>
    </w:p>
    <w:p>
      <w:pPr>
        <w:pStyle w:val="Heading2"/>
      </w:pPr>
      <w:r>
        <w:t xml:space="preserve">4.1 Built-In Distribution (Zero-CAC Acquisition)</w:t>
      </w:r>
    </w:p>
    <w:p>
      <w:pPr>
        <w:spacing w:after="120"/>
      </w:pPr>
      <w:r>
        <w:t xml:space="preserve">No other registered agent has a captive acquisition channel of newly incorporated Delaware companies. Forj’s infrastructure CLI captures founders at the exact moment they need an agent. The service is presented as a natural next step during checkout, not a cold outreach or Google ad. This inverts the typical CAC model: instead of spending $50–100 to acquire a $100/year customer, Forj acquires them for free through the tool they already chose to use.</w:t>
      </w:r>
    </w:p>
    <w:p>
      <w:pPr>
        <w:pStyle w:val="Heading2"/>
      </w:pPr>
      <w:r>
        <w:t xml:space="preserve">4.2 Modern, AI-Driven Experience</w:t>
      </w:r>
    </w:p>
    <w:p>
      <w:pPr>
        <w:pStyle w:val="ListParagraph"/>
        <w:numPr>
          <w:ilvl w:val="0"/>
          <w:numId w:val="2"/>
        </w:numPr>
        <w:spacing w:after="60"/>
      </w:pPr>
      <w:r>
        <w:rPr>
          <w:b/>
          <w:bCs/>
        </w:rPr>
        <w:t xml:space="preserve">Real-time dashboard </w:t>
      </w:r>
      <w:r>
        <w:t xml:space="preserve">with compliance status, upcoming deadlines, and proactive alerts (franchise tax due March 1, LLC tax due June 1)</w:t>
      </w:r>
    </w:p>
    <w:p>
      <w:pPr>
        <w:pStyle w:val="ListParagraph"/>
        <w:numPr>
          <w:ilvl w:val="0"/>
          <w:numId w:val="2"/>
        </w:numPr>
        <w:spacing w:after="60"/>
      </w:pPr>
      <w:r>
        <w:rPr>
          <w:b/>
          <w:bCs/>
        </w:rPr>
        <w:t xml:space="preserve">AI-powered document processing: </w:t>
      </w:r>
      <w:r>
        <w:t xml:space="preserve">legal mail scanned, OCR’d, categorized, and summarized within minutes of receipt. No waiting days for a PDF to arrive by email.</w:t>
      </w:r>
    </w:p>
    <w:p>
      <w:pPr>
        <w:pStyle w:val="ListParagraph"/>
        <w:numPr>
          <w:ilvl w:val="0"/>
          <w:numId w:val="2"/>
        </w:numPr>
        <w:spacing w:after="60"/>
      </w:pPr>
      <w:r>
        <w:rPr>
          <w:b/>
          <w:bCs/>
        </w:rPr>
        <w:t xml:space="preserve">Smart notifications: </w:t>
      </w:r>
      <w:r>
        <w:t xml:space="preserve">Slack, email, or SMS alerts for service of process, state correspondence, and filing deadlines. Configurable by urgency level.</w:t>
      </w:r>
    </w:p>
    <w:p>
      <w:pPr>
        <w:pStyle w:val="ListParagraph"/>
        <w:numPr>
          <w:ilvl w:val="0"/>
          <w:numId w:val="2"/>
        </w:numPr>
        <w:spacing w:after="60"/>
      </w:pPr>
      <w:r>
        <w:rPr>
          <w:b/>
          <w:bCs/>
        </w:rPr>
        <w:t xml:space="preserve">One-click annual report filing: </w:t>
      </w:r>
      <w:r>
        <w:t xml:space="preserve">pre-populated forms from Forj’s existing project data. Founders confirm and submit, rather than manually re-entering officer names and share counts.</w:t>
      </w:r>
    </w:p>
    <w:p>
      <w:pPr>
        <w:pStyle w:val="Heading2"/>
      </w:pPr>
      <w:r>
        <w:t xml:space="preserve">4.3 Developer-Native Tooling</w:t>
      </w:r>
    </w:p>
    <w:p>
      <w:pPr>
        <w:pStyle w:val="ListParagraph"/>
        <w:numPr>
          <w:ilvl w:val="0"/>
          <w:numId w:val="3"/>
        </w:numPr>
        <w:spacing w:after="60"/>
      </w:pPr>
      <w:r>
        <w:rPr>
          <w:b/>
          <w:bCs/>
        </w:rPr>
        <w:t xml:space="preserve">API-first: </w:t>
      </w:r>
      <w:r>
        <w:t xml:space="preserve">programmatic access to compliance status, document retrieval, and filing submissions. AI coding agents (Cursor, Claude Code) can check compliance status as part of project scaffolding.</w:t>
      </w:r>
    </w:p>
    <w:p>
      <w:pPr>
        <w:pStyle w:val="ListParagraph"/>
        <w:numPr>
          <w:ilvl w:val="0"/>
          <w:numId w:val="3"/>
        </w:numPr>
        <w:spacing w:after="60"/>
      </w:pPr>
      <w:r>
        <w:rPr>
          <w:b/>
          <w:bCs/>
        </w:rPr>
        <w:t xml:space="preserve">CLI integration: </w:t>
      </w:r>
      <w:r>
        <w:t xml:space="preserve">`forj compliance status` shows entity health alongside infrastructure health. One tool for everything.</w:t>
      </w:r>
    </w:p>
    <w:p>
      <w:pPr>
        <w:pStyle w:val="ListParagraph"/>
        <w:numPr>
          <w:ilvl w:val="0"/>
          <w:numId w:val="3"/>
        </w:numPr>
        <w:spacing w:after="60"/>
      </w:pPr>
      <w:r>
        <w:rPr>
          <w:b/>
          <w:bCs/>
        </w:rPr>
        <w:t xml:space="preserve">Webhook support: </w:t>
      </w:r>
      <w:r>
        <w:t xml:space="preserve">push compliance events to your own systems. Build automations that trigger when deadlines approach or documents arrive.</w:t>
      </w:r>
    </w:p>
    <w:p>
      <w:pPr>
        <w:pStyle w:val="Heading2"/>
      </w:pPr>
      <w:r>
        <w:t xml:space="preserve">4.4 Transparent, Fair Pricing</w:t>
      </w:r>
    </w:p>
    <w:p>
      <w:pPr>
        <w:spacing w:after="120"/>
      </w:pPr>
      <w:r>
        <w:t xml:space="preserve">One price. No introductory bait-and-switch (looking at ZenBusiness). No hidden scanning fees. No aggressive upselling. The price you see at checkout is the price you pay every year. This is a deliberate contrast to an industry built on opacity and gotcha pricing.</w:t>
      </w:r>
    </w:p>
    <w:p>
      <w:pPr>
        <w:pStyle w:val="Heading2"/>
      </w:pPr>
      <w:r>
        <w:t xml:space="preserve">4.5 Delaware-Only Focus (Strategic Constraint)</w:t>
      </w:r>
    </w:p>
    <w:p>
      <w:pPr>
        <w:spacing w:after="120"/>
      </w:pPr>
      <w:r>
        <w:t xml:space="preserve">Every generalist agent (Northwest, CT Corp, CSC) spreads operations across 50 states plus DC. This creates overhead, jurisdictional complexity, and diluted product focus. By going Delaware-only, Forj can build deep expertise in a single jurisdiction’s requirements, maintain a single physical presence, and keep operational costs minimal. Delaware accounts for the overwhelming majority of startup incorporations, so this constraint barely limits the addressable market while dramatically simplifying execution.</w:t>
      </w:r>
    </w:p>
    <w:p>
      <w:pPr>
        <w:pBdr>
          <w:bottom w:val="single" w:color="0891B2" w:sz="6" w:space="1"/>
        </w:pBdr>
        <w:spacing w:after="200" w:before="200"/>
      </w:pPr>
    </w:p>
    <w:p>
      <w:pPr>
        <w:pStyle w:val="Heading1"/>
      </w:pPr>
      <w:r>
        <w:t xml:space="preserve">5. Operational Playbook: Standing Up the Service</w:t>
      </w:r>
    </w:p>
    <w:p>
      <w:pPr>
        <w:pStyle w:val="Heading2"/>
      </w:pPr>
      <w:r>
        <w:t xml:space="preserve">5.1 Legal &amp; Regulatory Requirements</w:t>
      </w:r>
    </w:p>
    <w:p>
      <w:pPr>
        <w:spacing w:after="120"/>
      </w:pPr>
      <w:r>
        <w:t xml:space="preserve">To act as a registered agent in Delaware, you need a physical street address in the state (PO boxes do not qualify) and availability during normal business hours to accept service of process. Delaware does not require a special license to serve as a registered agent, but the agent must be listed on the Division of Corporations’ approved agent list to appear in their directory.</w:t>
      </w:r>
    </w:p>
    <w:p>
      <w:pPr>
        <w:pStyle w:val="ListParagraph"/>
        <w:numPr>
          <w:ilvl w:val="0"/>
          <w:numId w:val="4"/>
        </w:numPr>
        <w:spacing w:after="60"/>
      </w:pPr>
      <w:r>
        <w:rPr>
          <w:b/>
          <w:bCs/>
        </w:rPr>
        <w:t xml:space="preserve">Physical Delaware address: </w:t>
      </w:r>
      <w:r>
        <w:t xml:space="preserve">Lease a small office or coworking desk in Wilmington or Dover. Many agents operate from shared spaces. Budget $200–500/month. This is the address that appears on every client entity’s certificate of formation.</w:t>
      </w:r>
    </w:p>
    <w:p>
      <w:pPr>
        <w:pStyle w:val="ListParagraph"/>
        <w:numPr>
          <w:ilvl w:val="0"/>
          <w:numId w:val="4"/>
        </w:numPr>
        <w:spacing w:after="60"/>
      </w:pPr>
      <w:r>
        <w:rPr>
          <w:b/>
          <w:bCs/>
        </w:rPr>
        <w:t xml:space="preserve">Registered with Division of Corporations: </w:t>
      </w:r>
      <w:r>
        <w:t xml:space="preserve">Apply to be listed on the Division of Corporations’ List of Registered Agents. This increases credibility and discoverability.</w:t>
      </w:r>
    </w:p>
    <w:p>
      <w:pPr>
        <w:pStyle w:val="ListParagraph"/>
        <w:numPr>
          <w:ilvl w:val="0"/>
          <w:numId w:val="4"/>
        </w:numPr>
        <w:spacing w:after="60"/>
      </w:pPr>
      <w:r>
        <w:rPr>
          <w:b/>
          <w:bCs/>
        </w:rPr>
        <w:t xml:space="preserve">Accept service of process: </w:t>
      </w:r>
      <w:r>
        <w:t xml:space="preserve">Have a reliable method for receiving and forwarding legal documents. This is the core obligation. Process servers will physically deliver documents to the Delaware address during business hours.</w:t>
      </w:r>
    </w:p>
    <w:p>
      <w:pPr>
        <w:pStyle w:val="ListParagraph"/>
        <w:numPr>
          <w:ilvl w:val="0"/>
          <w:numId w:val="4"/>
        </w:numPr>
        <w:spacing w:after="60"/>
      </w:pPr>
      <w:r>
        <w:rPr>
          <w:b/>
          <w:bCs/>
        </w:rPr>
        <w:t xml:space="preserve">E&amp;O insurance: </w:t>
      </w:r>
      <w:r>
        <w:t xml:space="preserve">Errors and omissions insurance protects against claims of negligence (e.g., failing to forward service of process). Not legally required, but operationally essential. Budget $1,000–3,000/year.</w:t>
      </w:r>
    </w:p>
    <w:p>
      <w:pPr>
        <w:pStyle w:val="ListParagraph"/>
        <w:numPr>
          <w:ilvl w:val="0"/>
          <w:numId w:val="4"/>
        </w:numPr>
        <w:spacing w:after="60"/>
      </w:pPr>
      <w:r>
        <w:rPr>
          <w:b/>
          <w:bCs/>
        </w:rPr>
        <w:t xml:space="preserve">Business entity: </w:t>
      </w:r>
      <w:r>
        <w:t xml:space="preserve">The agent service itself should be a Delaware LLC or Corp for liability protection.</w:t>
      </w:r>
    </w:p>
    <w:p>
      <w:pPr>
        <w:pStyle w:val="Heading2"/>
      </w:pPr>
      <w:r>
        <w:t xml:space="preserve">5.2 Physical Operations</w:t>
      </w:r>
    </w:p>
    <w:p>
      <w:pPr>
        <w:spacing w:after="120"/>
      </w:pPr>
      <w:r>
        <w:t xml:space="preserve">The physical operation is surprisingly lightweight for a Delaware-only agent:</w:t>
      </w:r>
    </w:p>
    <w:p>
      <w:pPr>
        <w:pStyle w:val="ListParagraph"/>
        <w:numPr>
          <w:ilvl w:val="0"/>
          <w:numId w:val="5"/>
        </w:numPr>
        <w:spacing w:after="60"/>
      </w:pPr>
      <w:r>
        <w:rPr>
          <w:b/>
          <w:bCs/>
        </w:rPr>
        <w:t xml:space="preserve">Mail handling: </w:t>
      </w:r>
      <w:r>
        <w:t xml:space="preserve">Most incoming mail is state correspondence (franchise tax notices, annual report reminders) and occasional service of process. Volume scales linearly with client count but remains manageable. At 500 clients, expect 10–20 pieces of mail per week.</w:t>
      </w:r>
    </w:p>
    <w:p>
      <w:pPr>
        <w:pStyle w:val="ListParagraph"/>
        <w:numPr>
          <w:ilvl w:val="0"/>
          <w:numId w:val="5"/>
        </w:numPr>
        <w:spacing w:after="60"/>
      </w:pPr>
      <w:r>
        <w:rPr>
          <w:b/>
          <w:bCs/>
        </w:rPr>
        <w:t xml:space="preserve">Document scanning: </w:t>
      </w:r>
      <w:r>
        <w:t xml:space="preserve">Invest in a quality document scanner (Fujitsu ScanSnap, ~$400). Scan and upload to client dashboard within 2 hours of receipt. This alone differentiates from incumbents who take 2–5 business days.</w:t>
      </w:r>
    </w:p>
    <w:p>
      <w:pPr>
        <w:pStyle w:val="ListParagraph"/>
        <w:numPr>
          <w:ilvl w:val="0"/>
          <w:numId w:val="5"/>
        </w:numPr>
        <w:spacing w:after="60"/>
      </w:pPr>
      <w:r>
        <w:rPr>
          <w:b/>
          <w:bCs/>
        </w:rPr>
        <w:t xml:space="preserve">Service of process: </w:t>
      </w:r>
      <w:r>
        <w:t xml:space="preserve">This is the highest-urgency item. When a process server delivers a lawsuit, the clock starts on response deadlines (typically 20 days in Delaware). Immediate scanning, client notification via Slack/email/SMS, and document upload is critical. Build the fastest response time in the market.</w:t>
      </w:r>
    </w:p>
    <w:p>
      <w:pPr>
        <w:pStyle w:val="ListParagraph"/>
        <w:numPr>
          <w:ilvl w:val="0"/>
          <w:numId w:val="5"/>
        </w:numPr>
        <w:spacing w:after="60"/>
      </w:pPr>
      <w:r>
        <w:rPr>
          <w:b/>
          <w:bCs/>
        </w:rPr>
        <w:t xml:space="preserve">Staffing: </w:t>
      </w:r>
      <w:r>
        <w:t xml:space="preserve">At launch, this can be handled by a part-time local contractor in Delaware (someone present at the office during business hours to receive mail/process). At 1,000+ clients, consider a full-time operations person. Budget $1,500–3,000/month for part-time coverage.</w:t>
      </w:r>
    </w:p>
    <w:p>
      <w:pPr>
        <w:pStyle w:val="Heading2"/>
      </w:pPr>
      <w:r>
        <w:t xml:space="preserve">5.3 Technology Stack</w:t>
      </w:r>
    </w:p>
    <w:p>
      <w:pPr>
        <w:spacing w:after="120"/>
      </w:pPr>
      <w:r>
        <w:t xml:space="preserve">Build on the existing Forj infrastructure (Fastify, Postgres, Redis). The agent service is a natural extension of the existing API and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BD5E1" w:sz="1"/>
              <w:left w:val="single" w:color="CBD5E1" w:sz="1"/>
              <w:bottom w:val="single" w:color="CBD5E1" w:sz="1"/>
              <w:right w:val="single" w:color="CBD5E1" w:sz="1"/>
            </w:tcBorders>
            <w:shd w:fill="0F1B2D"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240"/>
            <w:tcBorders>
              <w:top w:val="single" w:color="CBD5E1" w:sz="1"/>
              <w:left w:val="single" w:color="CBD5E1" w:sz="1"/>
              <w:bottom w:val="single" w:color="CBD5E1" w:sz="1"/>
              <w:right w:val="single" w:color="CBD5E1" w:sz="1"/>
            </w:tcBorders>
            <w:shd w:fill="0F1B2D"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20"/>
                <w:szCs w:val="20"/>
              </w:rPr>
              <w:t xml:space="preserve">Client dashboard</w:t>
            </w:r>
          </w:p>
        </w:tc>
        <w:tc>
          <w:tcPr>
            <w:tcW w:type="dxa" w:w="624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React app showing entity status, compliance deadlines, documents inbox, annual report status</w:t>
            </w:r>
          </w:p>
        </w:tc>
      </w:tr>
      <w:tr>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20"/>
                <w:szCs w:val="20"/>
              </w:rPr>
              <w:t xml:space="preserve">Document pipeline</w:t>
            </w:r>
          </w:p>
        </w:tc>
        <w:tc>
          <w:tcPr>
            <w:tcW w:type="dxa" w:w="624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Scan → OCR (Tesseract or AWS Textract) → AI categorization → client notification → dashboard upload</w:t>
            </w:r>
          </w:p>
        </w:tc>
      </w:tr>
      <w:tr>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20"/>
                <w:szCs w:val="20"/>
              </w:rPr>
              <w:t xml:space="preserve">Compliance engine</w:t>
            </w:r>
          </w:p>
        </w:tc>
        <w:tc>
          <w:tcPr>
            <w:tcW w:type="dxa" w:w="624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Cron jobs tracking franchise tax deadlines (March 1 for corps, June 1 for LLCs). Sends reminder sequences at 60, 30, 14, 7, and 1 day before due dates.</w:t>
            </w:r>
          </w:p>
        </w:tc>
      </w:tr>
      <w:tr>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20"/>
                <w:szCs w:val="20"/>
              </w:rPr>
              <w:t xml:space="preserve">Annual report pre-fill</w:t>
            </w:r>
          </w:p>
        </w:tc>
        <w:tc>
          <w:tcPr>
            <w:tcW w:type="dxa" w:w="624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Pull officer/director data from client profile, pre-populate DE annual report form. Client reviews and approves, Forj submits via Division of Corporations portal.</w:t>
            </w:r>
          </w:p>
        </w:tc>
      </w:tr>
      <w:tr>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20"/>
                <w:szCs w:val="20"/>
              </w:rPr>
              <w:t xml:space="preserve">API + webhooks</w:t>
            </w:r>
          </w:p>
        </w:tc>
        <w:tc>
          <w:tcPr>
            <w:tcW w:type="dxa" w:w="624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REST API for programmatic access. Webhooks for document arrival, deadline reminders, compliance status changes.</w:t>
            </w:r>
          </w:p>
        </w:tc>
      </w:tr>
      <w:tr>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20"/>
                <w:szCs w:val="20"/>
              </w:rPr>
              <w:t xml:space="preserve">Notifications</w:t>
            </w:r>
          </w:p>
        </w:tc>
        <w:tc>
          <w:tcPr>
            <w:tcW w:type="dxa" w:w="624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Multi-channel: email, Slack (via webhook), SMS (Twilio). Priority-based routing (service of process = immediate call + SMS + email).</w:t>
            </w:r>
          </w:p>
        </w:tc>
      </w:tr>
    </w:tbl>
    <w:p>
      <w:pPr>
        <w:pStyle w:val="Heading2"/>
      </w:pPr>
      <w:r>
        <w:t xml:space="preserve">5.4 Launch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c>
          <w:tcPr>
            <w:tcW w:type="dxa" w:w="1560"/>
            <w:tcBorders>
              <w:top w:val="single" w:color="CBD5E1" w:sz="1"/>
              <w:left w:val="single" w:color="CBD5E1" w:sz="1"/>
              <w:bottom w:val="single" w:color="CBD5E1" w:sz="1"/>
              <w:right w:val="single" w:color="CBD5E1" w:sz="1"/>
            </w:tcBorders>
            <w:shd w:fill="0F1B2D"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900"/>
            <w:tcBorders>
              <w:top w:val="single" w:color="CBD5E1" w:sz="1"/>
              <w:left w:val="single" w:color="CBD5E1" w:sz="1"/>
              <w:bottom w:val="single" w:color="CBD5E1" w:sz="1"/>
              <w:right w:val="single" w:color="CBD5E1" w:sz="1"/>
            </w:tcBorders>
            <w:shd w:fill="0F1B2D" w:val="clear"/>
            <w:tcMar>
              <w:top w:type="dxa" w:w="80"/>
              <w:left w:type="dxa" w:w="120"/>
              <w:bottom w:type="dxa" w:w="80"/>
              <w:right w:type="dxa" w:w="120"/>
            </w:tcMar>
          </w:tcPr>
          <w:p>
            <w:r>
              <w:rPr>
                <w:rFonts w:ascii="Arial" w:cs="Arial" w:eastAsia="Arial" w:hAnsi="Arial"/>
                <w:b/>
                <w:bCs/>
                <w:color w:val="FFFFFF"/>
                <w:sz w:val="20"/>
                <w:szCs w:val="20"/>
              </w:rPr>
              <w:t xml:space="preserve">Actions</w:t>
            </w:r>
          </w:p>
        </w:tc>
        <w:tc>
          <w:tcPr>
            <w:tcW w:type="dxa" w:w="3900"/>
            <w:tcBorders>
              <w:top w:val="single" w:color="CBD5E1" w:sz="1"/>
              <w:left w:val="single" w:color="CBD5E1" w:sz="1"/>
              <w:bottom w:val="single" w:color="CBD5E1" w:sz="1"/>
              <w:right w:val="single" w:color="CBD5E1" w:sz="1"/>
            </w:tcBorders>
            <w:shd w:fill="0F1B2D"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r>
      <w:tr>
        <w:tc>
          <w:tcPr>
            <w:tcW w:type="dxa" w:w="1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20"/>
                <w:szCs w:val="20"/>
              </w:rPr>
              <w:t xml:space="preserve">Week 1–2</w:t>
            </w:r>
          </w:p>
        </w:tc>
        <w:tc>
          <w:tcPr>
            <w:tcW w:type="dxa" w:w="39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Secure Delaware office address. File to be listed as registered agent with Division of Corporations. Set up E&amp;O insurance. Establish mail handling process.</w:t>
            </w:r>
          </w:p>
        </w:tc>
        <w:tc>
          <w:tcPr>
            <w:tcW w:type="dxa" w:w="39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Physical operations live. Can legally accept appointment as agent.</w:t>
            </w:r>
          </w:p>
        </w:tc>
      </w:tr>
      <w:tr>
        <w:tc>
          <w:tcPr>
            <w:tcW w:type="dxa" w:w="1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20"/>
                <w:szCs w:val="20"/>
              </w:rPr>
              <w:t xml:space="preserve">Week 3–4</w:t>
            </w:r>
          </w:p>
        </w:tc>
        <w:tc>
          <w:tcPr>
            <w:tcW w:type="dxa" w:w="39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Build client dashboard (entity management, document inbox, compliance calendar). Integrate document scanning pipeline. Build notification system.</w:t>
            </w:r>
          </w:p>
        </w:tc>
        <w:tc>
          <w:tcPr>
            <w:tcW w:type="dxa" w:w="39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MVP dashboard live. First 10 clients onboarded (from existing Forj user base).</w:t>
            </w:r>
          </w:p>
        </w:tc>
      </w:tr>
      <w:tr>
        <w:tc>
          <w:tcPr>
            <w:tcW w:type="dxa" w:w="1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20"/>
                <w:szCs w:val="20"/>
              </w:rPr>
              <w:t xml:space="preserve">Week 5–6</w:t>
            </w:r>
          </w:p>
        </w:tc>
        <w:tc>
          <w:tcPr>
            <w:tcW w:type="dxa" w:w="39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Add agent service as upsell in Forj checkout flow. Build annual report pre-fill feature. Add API endpoints for compliance status.</w:t>
            </w:r>
          </w:p>
        </w:tc>
        <w:tc>
          <w:tcPr>
            <w:tcW w:type="dxa" w:w="39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Agent service available at Forj checkout. 50 clients onboarded.</w:t>
            </w:r>
          </w:p>
        </w:tc>
      </w:tr>
      <w:tr>
        <w:tc>
          <w:tcPr>
            <w:tcW w:type="dxa" w:w="1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20"/>
                <w:szCs w:val="20"/>
              </w:rPr>
              <w:t xml:space="preserve">Week 7–8</w:t>
            </w:r>
          </w:p>
        </w:tc>
        <w:tc>
          <w:tcPr>
            <w:tcW w:type="dxa" w:w="39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Launch Stripe Atlas switching campaign (target founders at renewal). Build AI document categorization. Add compliance monitoring dashboard.</w:t>
            </w:r>
          </w:p>
        </w:tc>
        <w:tc>
          <w:tcPr>
            <w:tcW w:type="dxa" w:w="39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100 clients. Revenue run rate established. Feedback loop active.</w:t>
            </w:r>
          </w:p>
        </w:tc>
      </w:tr>
    </w:tbl>
    <w:p>
      <w:pPr>
        <w:pBdr>
          <w:bottom w:val="single" w:color="0891B2" w:sz="6" w:space="1"/>
        </w:pBdr>
        <w:spacing w:after="200" w:before="200"/>
      </w:pPr>
    </w:p>
    <w:p>
      <w:pPr>
        <w:pStyle w:val="Heading1"/>
      </w:pPr>
      <w:r>
        <w:t xml:space="preserve">6. Pricing Strategy</w:t>
      </w:r>
    </w:p>
    <w:p>
      <w:pPr>
        <w:spacing w:after="160"/>
      </w:pPr>
      <w:r>
        <w:t xml:space="preserve">The pricing model positions Forj’s agent service at the intersection of fair value and premium experience. The goal is not to compete with the $49/year filing mills on price, but to offer dramatically better experience at a reasonable price point that signals quality without feeling extractive.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BD5E1" w:sz="1"/>
              <w:left w:val="single" w:color="CBD5E1" w:sz="1"/>
              <w:bottom w:val="single" w:color="CBD5E1" w:sz="1"/>
              <w:right w:val="single" w:color="CBD5E1" w:sz="1"/>
            </w:tcBorders>
            <w:shd w:fill="0F1B2D"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2340"/>
            <w:tcBorders>
              <w:top w:val="single" w:color="CBD5E1" w:sz="1"/>
              <w:left w:val="single" w:color="CBD5E1" w:sz="1"/>
              <w:bottom w:val="single" w:color="CBD5E1" w:sz="1"/>
              <w:right w:val="single" w:color="CBD5E1" w:sz="1"/>
            </w:tcBorders>
            <w:shd w:fill="0F1B2D" w:val="clear"/>
            <w:tcMar>
              <w:top w:type="dxa" w:w="80"/>
              <w:left w:type="dxa" w:w="120"/>
              <w:bottom w:type="dxa" w:w="80"/>
              <w:right w:type="dxa" w:w="120"/>
            </w:tcMar>
          </w:tcPr>
          <w:p>
            <w:r>
              <w:rPr>
                <w:rFonts w:ascii="Arial" w:cs="Arial" w:eastAsia="Arial" w:hAnsi="Arial"/>
                <w:b/>
                <w:bCs/>
                <w:color w:val="FFFFFF"/>
                <w:sz w:val="20"/>
                <w:szCs w:val="20"/>
              </w:rPr>
              <w:t xml:space="preserve">Price</w:t>
            </w:r>
          </w:p>
        </w:tc>
        <w:tc>
          <w:tcPr>
            <w:tcW w:type="dxa" w:w="4680"/>
            <w:tcBorders>
              <w:top w:val="single" w:color="CBD5E1" w:sz="1"/>
              <w:left w:val="single" w:color="CBD5E1" w:sz="1"/>
              <w:bottom w:val="single" w:color="CBD5E1" w:sz="1"/>
              <w:right w:val="single" w:color="CBD5E1" w:sz="1"/>
            </w:tcBorders>
            <w:shd w:fill="0F1B2D" w:val="clear"/>
            <w:tcMar>
              <w:top w:type="dxa" w:w="80"/>
              <w:left w:type="dxa" w:w="120"/>
              <w:bottom w:type="dxa" w:w="80"/>
              <w:right w:type="dxa" w:w="120"/>
            </w:tcMar>
          </w:tcPr>
          <w:p>
            <w:r>
              <w:rPr>
                <w:rFonts w:ascii="Arial" w:cs="Arial" w:eastAsia="Arial" w:hAnsi="Arial"/>
                <w:b/>
                <w:bCs/>
                <w:color w:val="FFFFFF"/>
                <w:sz w:val="20"/>
                <w:szCs w:val="20"/>
              </w:rPr>
              <w:t xml:space="preserve">Includes</w:t>
            </w:r>
          </w:p>
        </w:tc>
      </w:tr>
      <w:tr>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20"/>
                <w:szCs w:val="20"/>
              </w:rPr>
              <w:t xml:space="preserve">Essential</w:t>
            </w:r>
          </w:p>
        </w:tc>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20"/>
                <w:szCs w:val="20"/>
              </w:rPr>
              <w:t xml:space="preserve">$99/year</w:t>
            </w:r>
          </w:p>
        </w:tc>
        <w:tc>
          <w:tcPr>
            <w:tcW w:type="dxa" w:w="4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Registered agent, document scanning and forwarding, compliance calendar, email notifications, franchise tax reminders</w:t>
            </w:r>
          </w:p>
        </w:tc>
      </w:tr>
      <w:tr>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20"/>
                <w:szCs w:val="20"/>
              </w:rPr>
              <w:t xml:space="preserve">Pro</w:t>
            </w:r>
          </w:p>
        </w:tc>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20"/>
                <w:szCs w:val="20"/>
              </w:rPr>
              <w:t xml:space="preserve">$149/year</w:t>
            </w:r>
          </w:p>
        </w:tc>
        <w:tc>
          <w:tcPr>
            <w:tcW w:type="dxa" w:w="4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Everything in Essential + annual report pre-fill and filing, Slack notifications, AI document categorization, API access, priority service of process handling (immediate phone call)</w:t>
            </w:r>
          </w:p>
        </w:tc>
      </w:tr>
      <w:tr>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20"/>
                <w:szCs w:val="20"/>
              </w:rPr>
              <w:t xml:space="preserve">Bundle</w:t>
            </w:r>
          </w:p>
        </w:tc>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sz w:val="20"/>
                <w:szCs w:val="20"/>
              </w:rPr>
              <w:t xml:space="preserve">$199/year</w:t>
            </w:r>
            <w:r>
              <w:rPr>
                <w:rFonts w:ascii="Arial" w:cs="Arial" w:eastAsia="Arial" w:hAnsi="Arial"/>
                <w:color w:val="64748B"/>
                <w:sz w:val="18"/>
                <w:szCs w:val="18"/>
              </w:rPr>
              <w:t xml:space="preserve">
(with Forj Pro)</w:t>
            </w:r>
          </w:p>
        </w:tc>
        <w:tc>
          <w:tcPr>
            <w:tcW w:type="dxa" w:w="4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Forj infrastructure CLI (Pro tier) + registered agent (Pro tier). Bundled discount. Positioned as the complete startup operations package.</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59669" w:sz="12"/>
              <w:bottom w:val="none" w:color="FFFFFF" w:sz="0"/>
              <w:right w:val="none" w:color="FFFFFF" w:sz="0"/>
            </w:tcBorders>
            <w:shd w:fill="F0F4F8" w:val="clear"/>
            <w:tcMar>
              <w:top w:type="dxa" w:w="120"/>
              <w:left w:type="dxa" w:w="200"/>
              <w:bottom w:type="dxa" w:w="120"/>
              <w:right w:type="dxa" w:w="200"/>
            </w:tcMar>
          </w:tcPr>
          <w:p>
            <w:r>
              <w:rPr>
                <w:rFonts w:ascii="Arial" w:cs="Arial" w:eastAsia="Arial" w:hAnsi="Arial"/>
                <w:i/>
                <w:iCs/>
                <w:color w:val="334155"/>
                <w:sz w:val="20"/>
                <w:szCs w:val="20"/>
              </w:rPr>
              <w:t xml:space="preserve">Pricing rationale: $99–149 sits above the filing mills ($49–50) but well below the enterprise players ($249–374). The experience gap justifies the premium over budget providers. The bundle at $199 creates a compelling reason to use Forj for everything.</w:t>
            </w:r>
          </w:p>
        </w:tc>
      </w:tr>
    </w:tbl>
    <w:p>
      <w:pPr>
        <w:pBdr>
          <w:bottom w:val="single" w:color="0891B2" w:sz="6" w:space="1"/>
        </w:pBdr>
        <w:spacing w:after="200" w:before="200"/>
      </w:pPr>
    </w:p>
    <w:p>
      <w:pPr>
        <w:pStyle w:val="Heading1"/>
      </w:pPr>
      <w:r>
        <w:t xml:space="preserve">7. Unit Economics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0F1B2D"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680"/>
            <w:tcBorders>
              <w:top w:val="single" w:color="CBD5E1" w:sz="1"/>
              <w:left w:val="single" w:color="CBD5E1" w:sz="1"/>
              <w:bottom w:val="single" w:color="CBD5E1" w:sz="1"/>
              <w:right w:val="single" w:color="CBD5E1" w:sz="1"/>
            </w:tcBorders>
            <w:shd w:fill="0F1B2D" w:val="clear"/>
            <w:tcMar>
              <w:top w:type="dxa" w:w="80"/>
              <w:left w:type="dxa" w:w="120"/>
              <w:bottom w:type="dxa" w:w="80"/>
              <w:right w:type="dxa" w:w="120"/>
            </w:tcMar>
          </w:tcPr>
          <w:p>
            <w:r>
              <w:rPr>
                <w:rFonts w:ascii="Arial" w:cs="Arial" w:eastAsia="Arial" w:hAnsi="Arial"/>
                <w:b/>
                <w:bCs/>
                <w:color w:val="FFFFFF"/>
                <w:sz w:val="20"/>
                <w:szCs w:val="20"/>
              </w:rPr>
              <w:t xml:space="preserve">Estimate</w:t>
            </w:r>
          </w:p>
        </w:tc>
      </w:tr>
      <w:tr>
        <w:tc>
          <w:tcPr>
            <w:tcW w:type="dxa" w:w="4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Revenue per client (blended)</w:t>
            </w:r>
          </w:p>
        </w:tc>
        <w:tc>
          <w:tcPr>
            <w:tcW w:type="dxa" w:w="4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20"/>
                <w:szCs w:val="20"/>
              </w:rPr>
              <w:t xml:space="preserve">$125/year</w:t>
            </w:r>
          </w:p>
        </w:tc>
      </w:tr>
      <w:tr>
        <w:tc>
          <w:tcPr>
            <w:tcW w:type="dxa" w:w="4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Customer acquisition cost</w:t>
            </w:r>
          </w:p>
        </w:tc>
        <w:tc>
          <w:tcPr>
            <w:tcW w:type="dxa" w:w="4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20"/>
                <w:szCs w:val="20"/>
              </w:rPr>
              <w:t xml:space="preserve">~$0 (acquired through Forj CLI)</w:t>
            </w:r>
          </w:p>
        </w:tc>
      </w:tr>
      <w:tr>
        <w:tc>
          <w:tcPr>
            <w:tcW w:type="dxa" w:w="4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Variable cost per client/year</w:t>
            </w:r>
          </w:p>
        </w:tc>
        <w:tc>
          <w:tcPr>
            <w:tcW w:type="dxa" w:w="4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$8–12 (mail handling, scanning, notifications)</w:t>
            </w:r>
          </w:p>
        </w:tc>
      </w:tr>
      <w:tr>
        <w:tc>
          <w:tcPr>
            <w:tcW w:type="dxa" w:w="4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Fixed costs (monthly)</w:t>
            </w:r>
          </w:p>
        </w:tc>
        <w:tc>
          <w:tcPr>
            <w:tcW w:type="dxa" w:w="4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$2,500–4,500 (office lease + part-time staff + E&amp;O insurance)</w:t>
            </w:r>
          </w:p>
        </w:tc>
      </w:tr>
      <w:tr>
        <w:tc>
          <w:tcPr>
            <w:tcW w:type="dxa" w:w="4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Breakeven client count</w:t>
            </w:r>
          </w:p>
        </w:tc>
        <w:tc>
          <w:tcPr>
            <w:tcW w:type="dxa" w:w="4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20"/>
                <w:szCs w:val="20"/>
              </w:rPr>
              <w:t xml:space="preserve">~300–430 clients</w:t>
            </w:r>
          </w:p>
        </w:tc>
      </w:tr>
      <w:tr>
        <w:tc>
          <w:tcPr>
            <w:tcW w:type="dxa" w:w="4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Gross margin at 1,000 clients</w:t>
            </w:r>
          </w:p>
        </w:tc>
        <w:tc>
          <w:tcPr>
            <w:tcW w:type="dxa" w:w="4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20"/>
                <w:szCs w:val="20"/>
              </w:rPr>
              <w:t xml:space="preserve">~88–90%</w:t>
            </w:r>
          </w:p>
        </w:tc>
      </w:tr>
      <w:tr>
        <w:tc>
          <w:tcPr>
            <w:tcW w:type="dxa" w:w="4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Expected annual retention</w:t>
            </w:r>
          </w:p>
        </w:tc>
        <w:tc>
          <w:tcPr>
            <w:tcW w:type="dxa" w:w="4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20"/>
                <w:szCs w:val="20"/>
              </w:rPr>
              <w:t xml:space="preserve">95%+ (legally required service, high switching friction)</w:t>
            </w:r>
          </w:p>
        </w:tc>
      </w:tr>
      <w:tr>
        <w:tc>
          <w:tcPr>
            <w:tcW w:type="dxa" w:w="4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LTV (5-year, 95% retention)</w:t>
            </w:r>
          </w:p>
        </w:tc>
        <w:tc>
          <w:tcPr>
            <w:tcW w:type="dxa" w:w="4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20"/>
                <w:szCs w:val="20"/>
              </w:rPr>
              <w:t xml:space="preserve">~$570 per client</w:t>
            </w:r>
          </w:p>
        </w:tc>
      </w:tr>
      <w:tr>
        <w:tc>
          <w:tcPr>
            <w:tcW w:type="dxa" w:w="4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LTV:CAC ratio</w:t>
            </w:r>
          </w:p>
        </w:tc>
        <w:tc>
          <w:tcPr>
            <w:tcW w:type="dxa" w:w="4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059669"/>
                <w:sz w:val="20"/>
                <w:szCs w:val="20"/>
              </w:rPr>
              <w:t xml:space="preserve">Effectively infinite</w:t>
            </w:r>
            <w:r>
              <w:rPr>
                <w:rFonts w:ascii="Arial" w:cs="Arial" w:eastAsia="Arial" w:hAnsi="Arial"/>
                <w:sz w:val="20"/>
                <w:szCs w:val="20"/>
              </w:rPr>
              <w:t xml:space="preserve"> (zero-CAC acquisition)</w:t>
            </w:r>
          </w:p>
        </w:tc>
      </w:tr>
    </w:tbl>
    <w:p>
      <w:pPr>
        <w:spacing w:before="160"/>
      </w:pPr>
    </w:p>
    <w:p>
      <w:pPr>
        <w:spacing w:after="120"/>
      </w:pPr>
      <w:r>
        <w:t xml:space="preserve">At 1,000 clients, the agent service generates roughly $125K ARR with $100K+ in gross profit. The cost structure scales sub-linearly: the office lease and insurance are fixed, and per-client variable costs (mail handling, scanning) are minimal. This is a classic compliance SaaS margin profile.</w:t>
      </w:r>
    </w:p>
    <w:p>
      <w:pPr>
        <w:pBdr>
          <w:bottom w:val="single" w:color="0891B2" w:sz="6" w:space="1"/>
        </w:pBdr>
        <w:spacing w:after="200" w:before="200"/>
      </w:pPr>
    </w:p>
    <w:p>
      <w:pPr>
        <w:pStyle w:val="Heading1"/>
      </w:pPr>
      <w:r>
        <w:t xml:space="preserve">8.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60"/>
        <w:gridCol w:w="5300"/>
      </w:tblGrid>
      <w:tr>
        <w:tc>
          <w:tcPr>
            <w:tcW w:type="dxa" w:w="2500"/>
            <w:tcBorders>
              <w:top w:val="single" w:color="CBD5E1" w:sz="1"/>
              <w:left w:val="single" w:color="CBD5E1" w:sz="1"/>
              <w:bottom w:val="single" w:color="CBD5E1" w:sz="1"/>
              <w:right w:val="single" w:color="CBD5E1" w:sz="1"/>
            </w:tcBorders>
            <w:shd w:fill="0F1B2D"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560"/>
            <w:tcBorders>
              <w:top w:val="single" w:color="CBD5E1" w:sz="1"/>
              <w:left w:val="single" w:color="CBD5E1" w:sz="1"/>
              <w:bottom w:val="single" w:color="CBD5E1" w:sz="1"/>
              <w:right w:val="single" w:color="CBD5E1" w:sz="1"/>
            </w:tcBorders>
            <w:shd w:fill="0F1B2D"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5300"/>
            <w:tcBorders>
              <w:top w:val="single" w:color="CBD5E1" w:sz="1"/>
              <w:left w:val="single" w:color="CBD5E1" w:sz="1"/>
              <w:bottom w:val="single" w:color="CBD5E1" w:sz="1"/>
              <w:right w:val="single" w:color="CBD5E1" w:sz="1"/>
            </w:tcBorders>
            <w:shd w:fill="0F1B2D"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Stripe Atlas adds better agent service</w:t>
            </w:r>
          </w:p>
        </w:tc>
        <w:tc>
          <w:tcPr>
            <w:tcW w:type="dxa" w:w="1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D97706"/>
                <w:sz w:val="20"/>
                <w:szCs w:val="20"/>
              </w:rPr>
              <w:t xml:space="preserve">Medium</w:t>
            </w:r>
          </w:p>
        </w:tc>
        <w:tc>
          <w:tcPr>
            <w:tcW w:type="dxa" w:w="53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Atlas’s core business is payments infrastructure, not compliance. Agent service is a commodity add-on for them. Forj’s deep integration and better UX retains users even if Atlas iterates. Move fast and build switching costs via the compliance dashboard.</w:t>
            </w:r>
          </w:p>
        </w:tc>
      </w:tr>
      <w:tr>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Northwest bundles agent free with formation</w:t>
            </w:r>
          </w:p>
        </w:tc>
        <w:tc>
          <w:tcPr>
            <w:tcW w:type="dxa" w:w="1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DC2626"/>
                <w:sz w:val="20"/>
                <w:szCs w:val="20"/>
              </w:rPr>
              <w:t xml:space="preserve">High</w:t>
            </w:r>
          </w:p>
        </w:tc>
        <w:tc>
          <w:tcPr>
            <w:tcW w:type="dxa" w:w="53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Northwest targets the general SMB market, not startup founders specifically. Their free bundle requires using their formation service. Forj’s value is the integrated infrastructure + compliance experience, not the agent service alone. Compete on experience, not price.</w:t>
            </w:r>
          </w:p>
        </w:tc>
      </w:tr>
      <w:tr>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Failure to forward service of process</w:t>
            </w:r>
          </w:p>
        </w:tc>
        <w:tc>
          <w:tcPr>
            <w:tcW w:type="dxa" w:w="1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DC2626"/>
                <w:sz w:val="20"/>
                <w:szCs w:val="20"/>
              </w:rPr>
              <w:t xml:space="preserve">Low / Critical</w:t>
            </w:r>
          </w:p>
        </w:tc>
        <w:tc>
          <w:tcPr>
            <w:tcW w:type="dxa" w:w="53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This is the highest-stakes operational risk. A missed lawsuit notification can result in default judgment. Mitigate with redundant notification channels (phone + SMS + email), same-day scanning SLA, E&amp;O insurance, and clear escalation procedures.</w:t>
            </w:r>
          </w:p>
        </w:tc>
      </w:tr>
      <w:tr>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Slow initial client acquisition</w:t>
            </w:r>
          </w:p>
        </w:tc>
        <w:tc>
          <w:tcPr>
            <w:tcW w:type="dxa" w:w="1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D97706"/>
                <w:sz w:val="20"/>
                <w:szCs w:val="20"/>
              </w:rPr>
              <w:t xml:space="preserve">Medium</w:t>
            </w:r>
          </w:p>
        </w:tc>
        <w:tc>
          <w:tcPr>
            <w:tcW w:type="dxa" w:w="53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If Forj CLI adoption is slow, the agent acquisition channel is constrained. Mitigate with direct outreach to Delaware new entity filings (public record), Stripe Atlas founder communities, and content marketing targeting “best Delaware registered agent for startups.”</w:t>
            </w:r>
          </w:p>
        </w:tc>
      </w:tr>
      <w:tr>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Regulatory changes in DE</w:t>
            </w:r>
          </w:p>
        </w:tc>
        <w:tc>
          <w:tcPr>
            <w:tcW w:type="dxa" w:w="1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59669"/>
                <w:sz w:val="20"/>
                <w:szCs w:val="20"/>
              </w:rPr>
              <w:t xml:space="preserve">Low</w:t>
            </w:r>
          </w:p>
        </w:tc>
        <w:tc>
          <w:tcPr>
            <w:tcW w:type="dxa" w:w="53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Delaware’s business-friendly legal framework is a core economic asset for the state. Radical regulatory changes are unlikely. Monitor Division of Corporations announcements and adapt.</w:t>
            </w:r>
          </w:p>
        </w:tc>
      </w:tr>
    </w:tbl>
    <w:p>
      <w:pPr>
        <w:pBdr>
          <w:bottom w:val="single" w:color="0891B2" w:sz="6" w:space="1"/>
        </w:pBdr>
        <w:spacing w:after="200" w:before="200"/>
      </w:pPr>
    </w:p>
    <w:p>
      <w:pPr>
        <w:pStyle w:val="Heading1"/>
      </w:pPr>
      <w:r>
        <w:t xml:space="preserve">9. Expansion Path</w:t>
      </w:r>
    </w:p>
    <w:p>
      <w:pPr>
        <w:spacing w:after="160"/>
      </w:pPr>
      <w:r>
        <w:t xml:space="preserve">Delaware-only is the starting constraint, not the permanent strategy. Once the operational model and technology stack are proven, expansion follows a predictable path:</w:t>
      </w:r>
    </w:p>
    <w:p>
      <w:pPr>
        <w:pStyle w:val="ListParagraph"/>
        <w:numPr>
          <w:ilvl w:val="0"/>
          <w:numId w:val="6"/>
        </w:numPr>
        <w:spacing w:after="80"/>
      </w:pPr>
      <w:r>
        <w:rPr>
          <w:b/>
          <w:bCs/>
        </w:rPr>
        <w:t xml:space="preserve">Validate in Delaware (0–6 months): </w:t>
      </w:r>
      <w:r>
        <w:t xml:space="preserve">Reach 500+ clients, prove unit economics, refine the compliance dashboard and document pipeline. Build the reputation as the agent service built for startup founders.</w:t>
      </w:r>
    </w:p>
    <w:p>
      <w:pPr>
        <w:pStyle w:val="ListParagraph"/>
        <w:numPr>
          <w:ilvl w:val="0"/>
          <w:numId w:val="6"/>
        </w:numPr>
        <w:spacing w:after="80"/>
      </w:pPr>
      <w:r>
        <w:rPr>
          <w:b/>
          <w:bCs/>
        </w:rPr>
        <w:t xml:space="preserve">Add Wyoming and Nevada (6–12 months): </w:t>
      </w:r>
      <w:r>
        <w:t xml:space="preserve">The other two popular incorporation states for startups. Similar regulatory environments, lean physical presence requirements. Tests multi-state operations without full 50-state complexity.</w:t>
      </w:r>
    </w:p>
    <w:p>
      <w:pPr>
        <w:pStyle w:val="ListParagraph"/>
        <w:numPr>
          <w:ilvl w:val="0"/>
          <w:numId w:val="6"/>
        </w:numPr>
        <w:spacing w:after="80"/>
      </w:pPr>
      <w:r>
        <w:rPr>
          <w:b/>
          <w:bCs/>
        </w:rPr>
        <w:t xml:space="preserve">Compliance-as-a-Service platform (12–18 months): </w:t>
      </w:r>
      <w:r>
        <w:t xml:space="preserve">Annual report filing, franchise tax payment, good standing monitoring, and foreign qualification management across all states where clients do business. This is the long-term platform play—becoming the compliance operating system for startups.</w:t>
      </w:r>
    </w:p>
    <w:p>
      <w:pPr>
        <w:pStyle w:val="ListParagraph"/>
        <w:numPr>
          <w:ilvl w:val="0"/>
          <w:numId w:val="6"/>
        </w:numPr>
        <w:spacing w:after="80"/>
      </w:pPr>
      <w:r>
        <w:rPr>
          <w:b/>
          <w:bCs/>
        </w:rPr>
        <w:t xml:space="preserve">Google Workspace + other reseller revenue (12+ months): </w:t>
      </w:r>
      <w:r>
        <w:t xml:space="preserve">Layer on recurring SaaS reseller margins as the relationship deepens. The registered agent becomes the anchor that holds the full suite of startup services together.</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891B2" w:sz="12"/>
              <w:bottom w:val="none" w:color="FFFFFF" w:sz="0"/>
              <w:right w:val="none" w:color="FFFFFF" w:sz="0"/>
            </w:tcBorders>
            <w:shd w:fill="F0F4F8" w:val="clear"/>
            <w:tcMar>
              <w:top w:type="dxa" w:w="120"/>
              <w:left w:type="dxa" w:w="200"/>
              <w:bottom w:type="dxa" w:w="120"/>
              <w:right w:type="dxa" w:w="200"/>
            </w:tcMar>
          </w:tcPr>
          <w:p>
            <w:r>
              <w:rPr>
                <w:rFonts w:ascii="Arial" w:cs="Arial" w:eastAsia="Arial" w:hAnsi="Arial"/>
                <w:i/>
                <w:iCs/>
                <w:color w:val="334155"/>
                <w:sz w:val="20"/>
                <w:szCs w:val="20"/>
              </w:rPr>
              <w:t xml:space="preserve">The endgame is not a registered agent service. It is the compliance and infrastructure operating system for startups, with the agent as the anchor relationship that creates the highest-retention touchpoint in the entire stack.</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891B2" w:sz="2" w:space="4"/>
      </w:pBdr>
      <w:tabs>
        <w:tab w:val="right" w:pos="9026"/>
      </w:tabs>
    </w:pPr>
    <w:r>
      <w:rPr>
        <w:rFonts w:ascii="Arial" w:cs="Arial" w:eastAsia="Arial" w:hAnsi="Arial"/>
        <w:color w:val="64748B"/>
        <w:sz w:val="16"/>
        <w:szCs w:val="16"/>
      </w:rPr>
      <w:t xml:space="preserve">Forj Registered Agent Playbook</w:t>
    </w:r>
    <w:r>
      <w:rPr>
        <w:rFonts w:ascii="Arial" w:cs="Arial" w:eastAsia="Arial" w:hAnsi="Arial"/>
        <w:color w:val="64748B"/>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10"/>
    <w:lvlOverride w:ilvl="0">
      <w:startOverride w:val="1"/>
    </w:lvlOverride>
  </w:num>
  <w:num w:numId="5">
    <w:abstractNumId w:val="4"/>
    <w:lvlOverride w:ilvl="0">
      <w:startOverride w:val="1"/>
    </w:lvlOverride>
  </w:num>
  <w:num w:numId="6">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F1B2D"/>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0891B2"/>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41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2026-03-13T19:51:12.912Z</dcterms:created>
  <dcterms:modified xsi:type="dcterms:W3CDTF">2026-03-13T19:51:12.912Z</dcterms:modified>
</cp:coreProperties>
</file>

<file path=docProps/custom.xml><?xml version="1.0" encoding="utf-8"?>
<Properties xmlns="http://schemas.openxmlformats.org/officeDocument/2006/custom-properties" xmlns:vt="http://schemas.openxmlformats.org/officeDocument/2006/docPropsVTypes"/>
</file>