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28"/>
        </w:rPr>
        <w:t>ForkMark</w:t>
      </w:r>
    </w:p>
    <w:p>
      <w:pPr>
        <w:pStyle w:val="Title"/>
        <w:jc w:val="left"/>
      </w:pPr>
      <w:r>
        <w:t>Model Validation Memorandum</w:t>
      </w:r>
    </w:p>
    <w:p>
      <w:r>
        <w:rPr>
          <w:i/>
        </w:rPr>
        <w:t>Arabic Retail-Banking Assistant (Jais 30B) (v1) — CBUAE Model Management Standards (2022)</w:t>
      </w:r>
    </w:p>
    <w:p>
      <w:pPr>
        <w:jc w:val="right"/>
        <w:bidi/>
      </w:pPr>
      <w:r>
        <w:rPr>
          <w:rFonts w:ascii="Arial" w:hAnsi="Arial"/>
          <w:b/>
          <w:sz w:val="26"/>
          <w:rtl/>
        </w:rPr>
        <w:t>مذكرة التحقق من صحة النموذج</w:t>
      </w:r>
    </w:p>
    <w:p>
      <w:r>
        <w:t>Generated: 2026-07-10T15:34:52.663042+00:00</w:t>
      </w:r>
    </w:p>
    <w:p>
      <w:pPr>
        <w:pStyle w:val="Heading1"/>
      </w:pPr>
      <w:r>
        <w:t>1. Executive Summary</w:t>
      </w:r>
    </w:p>
    <w:p>
      <w:pPr>
        <w:jc w:val="right"/>
        <w:bidi/>
      </w:pPr>
      <w:r>
        <w:rPr>
          <w:rFonts w:ascii="Arial" w:hAnsi="Arial"/>
          <w:b/>
          <w:sz w:val="22"/>
          <w:rtl/>
        </w:rPr>
        <w:t>١. الملخص التنفيذي</w:t>
      </w:r>
    </w:p>
    <w:p>
      <w:pPr>
        <w:pStyle w:val="ListBullet"/>
      </w:pPr>
      <w:r>
        <w:rPr>
          <w:b/>
        </w:rPr>
        <w:t xml:space="preserve">Model: </w:t>
      </w:r>
      <w:r>
        <w:t>Arabic Retail-Banking Assistant (Jais 30B) (arabic-banking-assistant)</w:t>
      </w:r>
    </w:p>
    <w:p>
      <w:pPr>
        <w:pStyle w:val="ListBullet"/>
      </w:pPr>
      <w:r>
        <w:rPr>
          <w:b/>
        </w:rPr>
        <w:t xml:space="preserve">Provider / Version: </w:t>
      </w:r>
      <w:r>
        <w:t>G42 / Inception — Jais 30B (self-hosted) / v1</w:t>
      </w:r>
    </w:p>
    <w:p>
      <w:pPr>
        <w:pStyle w:val="ListBullet"/>
      </w:pPr>
      <w:r>
        <w:rPr>
          <w:b/>
        </w:rPr>
        <w:t xml:space="preserve">Use Case: </w:t>
      </w:r>
      <w:r>
        <w:t>Customer-facing Arabic/English retail-banking assistant</w:t>
      </w:r>
    </w:p>
    <w:p>
      <w:pPr>
        <w:pStyle w:val="ListBullet"/>
      </w:pPr>
      <w:r>
        <w:rPr>
          <w:b/>
        </w:rPr>
        <w:t xml:space="preserve">Risk Tier: </w:t>
      </w:r>
      <w:r>
        <w:t>HIGH</w:t>
      </w:r>
    </w:p>
    <w:p>
      <w:pPr>
        <w:pStyle w:val="ListBullet"/>
      </w:pPr>
      <w:r>
        <w:rPr>
          <w:b/>
        </w:rPr>
        <w:t xml:space="preserve">Framework: </w:t>
      </w:r>
      <w:r>
        <w:t>CBUAE Model Management Standards (2022) — United Arab Emirates (Central Bank of the UAE)</w:t>
      </w:r>
    </w:p>
    <w:p>
      <w:pPr>
        <w:pStyle w:val="ListBullet"/>
      </w:pPr>
      <w:r>
        <w:rPr>
          <w:b/>
        </w:rPr>
        <w:t xml:space="preserve">Validation Period: </w:t>
      </w:r>
      <w:r>
        <w:t>2026-07-10 to 2026-07-10</w:t>
      </w:r>
    </w:p>
    <w:p>
      <w:pPr>
        <w:pStyle w:val="ListBullet"/>
      </w:pPr>
      <w:r>
        <w:rPr>
          <w:b/>
        </w:rPr>
        <w:t xml:space="preserve">Inventory Status: </w:t>
      </w:r>
      <w:r>
        <w:t>ACTIVE</w:t>
      </w:r>
    </w:p>
    <w:p>
      <w:pPr>
        <w:jc w:val="right"/>
        <w:bidi/>
      </w:pPr>
      <w:r>
        <w:rPr>
          <w:rFonts w:ascii="Arial" w:hAnsi="Arial"/>
          <w:b/>
          <w:sz w:val="24"/>
          <w:rtl/>
        </w:rPr>
        <w:t>الملخص التنفيذي</w:t>
      </w:r>
    </w:p>
    <w:p>
      <w:pPr>
        <w:jc w:val="right"/>
        <w:bidi/>
      </w:pPr>
      <w:r>
        <w:rPr>
          <w:rFonts w:ascii="Arial" w:hAnsi="Arial"/>
          <w:b w:val="0"/>
          <w:sz w:val="22"/>
          <w:rtl/>
        </w:rPr>
        <w:t>يعرض هذا التقرير التحقق المستقل من النموذج «Arabic Retail-Banking Assistant (Jais 30B)» (arabic-banking-assistant)، المصنّف ضمن فئة المخاطر HIGH، وفقاً لإطار CBUAE Model Management Standards (2022). خلص التحقق إلى 8 ملاحظة/ملاحظات تتطلب المتابعة قبل الاعتماد النهائي من جهة تحقق مستقلة. أُجري التحقق ذاتياً داخل بيئة البنك دون خروج أي بيانات للعملاء.</w:t>
      </w:r>
    </w:p>
    <w:p>
      <w:pPr>
        <w:pStyle w:val="Heading1"/>
      </w:pPr>
      <w:r>
        <w:t>2. Scope &amp; Methodology</w:t>
      </w:r>
    </w:p>
    <w:p>
      <w:pPr>
        <w:jc w:val="right"/>
        <w:bidi/>
      </w:pPr>
      <w:r>
        <w:rPr>
          <w:rFonts w:ascii="Arial" w:hAnsi="Arial"/>
          <w:b/>
          <w:sz w:val="22"/>
          <w:rtl/>
        </w:rPr>
        <w:t>٢. النطاق والمنهجية</w:t>
      </w:r>
    </w:p>
    <w:p>
      <w:r>
        <w:t>Frameworks assessed: CBUAE Model Management Standards (2022) (CBUAE Model Management Standards &amp; Guidance, attachment to Notice 5052/2022 (2022-12-21)).</w:t>
      </w:r>
    </w:p>
    <w:p>
      <w:r>
        <w:t>Comparisons analysed: 0; sample sizes: n/a.</w:t>
      </w:r>
    </w:p>
    <w:p>
      <w:r>
        <w:t>Evaluator suite: NumericalFidelityEvaluator, BiasDisparityEvaluator, human_effective_challenge.</w:t>
      </w:r>
    </w:p>
    <w:p>
      <w:pPr>
        <w:pStyle w:val="Heading1"/>
      </w:pPr>
      <w:r>
        <w:t>3. Statistical Results</w:t>
      </w:r>
    </w:p>
    <w:p>
      <w:pPr>
        <w:jc w:val="right"/>
        <w:bidi/>
      </w:pPr>
      <w:r>
        <w:rPr>
          <w:rFonts w:ascii="Arial" w:hAnsi="Arial"/>
          <w:b/>
          <w:sz w:val="22"/>
          <w:rtl/>
        </w:rPr>
        <w:t>٣. النتائج الإحصائية</w:t>
      </w:r>
    </w:p>
    <w:p>
      <w:r>
        <w:t>No statistical comparison results were supplied.</w:t>
      </w:r>
    </w:p>
    <w:p>
      <w:pPr>
        <w:pStyle w:val="Heading1"/>
      </w:pPr>
      <w:r>
        <w:t>4. Bias &amp; Fairness Assessment</w:t>
      </w:r>
    </w:p>
    <w:p>
      <w:pPr>
        <w:jc w:val="right"/>
        <w:bidi/>
      </w:pPr>
      <w:r>
        <w:rPr>
          <w:rFonts w:ascii="Arial" w:hAnsi="Arial"/>
          <w:b/>
          <w:sz w:val="22"/>
          <w:rtl/>
        </w:rPr>
        <w:t>٤. تقييم التحيّز والإنصاف</w:t>
      </w:r>
    </w:p>
    <w:p>
      <w:pPr>
        <w:pStyle w:val="ListBullet"/>
      </w:pPr>
      <w:r>
        <w:t>[FAIL] Disparity ratio 1.382 (threshold 1.20); max 'emirati_applicants' vs min 'expat_applicants'.</w:t>
      </w:r>
    </w:p>
    <w:p>
      <w:pPr>
        <w:pStyle w:val="Heading1"/>
      </w:pPr>
      <w:r>
        <w:t>5. Numerical Fidelity</w:t>
      </w:r>
    </w:p>
    <w:p>
      <w:pPr>
        <w:jc w:val="right"/>
        <w:bidi/>
      </w:pPr>
      <w:r>
        <w:rPr>
          <w:rFonts w:ascii="Arial" w:hAnsi="Arial"/>
          <w:b/>
          <w:sz w:val="22"/>
          <w:rtl/>
        </w:rPr>
        <w:t>٥. الدقة العددية</w:t>
      </w:r>
    </w:p>
    <w:p>
      <w:pPr>
        <w:pStyle w:val="ListBullet"/>
      </w:pPr>
      <w:r>
        <w:t>[PASS] Fidelity score 1.00; 0 flagged of 0 figures.</w:t>
      </w:r>
    </w:p>
    <w:p>
      <w:pPr>
        <w:pStyle w:val="ListBullet"/>
      </w:pPr>
      <w:r>
        <w:t>[PASS] Fidelity score 1.00; 0 flagged of 0 figures.</w:t>
      </w:r>
    </w:p>
    <w:p>
      <w:pPr>
        <w:pStyle w:val="ListBullet"/>
      </w:pPr>
      <w:r>
        <w:t>[PASS] Fidelity score 1.00; 0 flagged of 0 figures.</w:t>
      </w:r>
    </w:p>
    <w:p>
      <w:pPr>
        <w:pStyle w:val="ListBullet"/>
      </w:pPr>
      <w:r>
        <w:t>[FAIL] Fidelity score 0.00; 3 flagged of 3 figures.</w:t>
      </w:r>
    </w:p>
    <w:p>
      <w:pPr>
        <w:pStyle w:val="ListBullet"/>
      </w:pPr>
      <w:r>
        <w:t>[FAIL] Fidelity score 0.25; 3 flagged of 4 figures.</w:t>
      </w:r>
    </w:p>
    <w:p>
      <w:pPr>
        <w:pStyle w:val="ListBullet"/>
      </w:pPr>
      <w:r>
        <w:t>[FAIL] Fidelity score 0.00; 3 flagged of 3 figures.</w:t>
      </w:r>
    </w:p>
    <w:p>
      <w:pPr>
        <w:pStyle w:val="Heading1"/>
      </w:pPr>
      <w:r>
        <w:t>6. Human Review Summary</w:t>
      </w:r>
    </w:p>
    <w:p>
      <w:pPr>
        <w:jc w:val="right"/>
        <w:bidi/>
      </w:pPr>
      <w:r>
        <w:rPr>
          <w:rFonts w:ascii="Arial" w:hAnsi="Arial"/>
          <w:b/>
          <w:sz w:val="22"/>
          <w:rtl/>
        </w:rPr>
        <w:t>٦. ملخص المراجعة البشرية</w:t>
      </w:r>
    </w:p>
    <w:p>
      <w:r>
        <w:t>Total decisions: 6.</w:t>
      </w:r>
    </w:p>
    <w:p>
      <w:r>
        <w:t>Choice distribution: {'A': 6}.</w:t>
      </w:r>
    </w:p>
    <w:p>
      <w:r>
        <w:t>Confidence distribution: {'high': 5, 'medium': 1}.</w:t>
      </w:r>
    </w:p>
    <w:p>
      <w:r>
        <w:t>Rationale themes: challenger (12), champion (6), product (5), sharia (4), compliance (4), risk (4), human (4), cbuae (4).</w:t>
      </w:r>
    </w:p>
    <w:p>
      <w:pPr>
        <w:pStyle w:val="Heading1"/>
      </w:pPr>
      <w:r>
        <w:t>7. Regulatory Mapping</w:t>
      </w:r>
    </w:p>
    <w:p>
      <w:pPr>
        <w:jc w:val="right"/>
        <w:bidi/>
      </w:pPr>
      <w:r>
        <w:rPr>
          <w:rFonts w:ascii="Arial" w:hAnsi="Arial"/>
          <w:b/>
          <w:sz w:val="22"/>
          <w:rtl/>
        </w:rPr>
        <w:t>٧. الربط التنظيمي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Required Artifact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model_inventory_record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model_materiality_tiering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conceptual_soundness_review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independent_validation_report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ongoing_monitoring_report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outcome_analysis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data_management_framework</w:t>
            </w:r>
          </w:p>
        </w:tc>
        <w:tc>
          <w:tcPr>
            <w:tcW w:type="dxa" w:w="4320"/>
          </w:tcPr>
          <w:p>
            <w:r>
              <w:t>MISSING</w:t>
            </w:r>
          </w:p>
        </w:tc>
      </w:tr>
      <w:tr>
        <w:tc>
          <w:tcPr>
            <w:tcW w:type="dxa" w:w="4320"/>
          </w:tcPr>
          <w:p>
            <w:r>
              <w:t>governance_record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validation_memo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</w:tbl>
    <w:p>
      <w:pPr>
        <w:pStyle w:val="Heading1"/>
      </w:pPr>
      <w:r>
        <w:t>8. Findings &amp; Recommendations</w:t>
      </w:r>
    </w:p>
    <w:p>
      <w:pPr>
        <w:jc w:val="right"/>
        <w:bidi/>
      </w:pPr>
      <w:r>
        <w:rPr>
          <w:rFonts w:ascii="Arial" w:hAnsi="Arial"/>
          <w:b/>
          <w:sz w:val="22"/>
          <w:rtl/>
        </w:rPr>
        <w:t>٨. النتائج والتوصيات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Recommendation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Bias &amp; fairness</w:t>
            </w:r>
          </w:p>
        </w:tc>
        <w:tc>
          <w:tcPr>
            <w:tcW w:type="dxa" w:w="2160"/>
          </w:tcPr>
          <w:p>
            <w:r>
              <w:t>Disparity ratio 1.38 exceeds the 1.20 threshold (max 'emirati_applicants' vs min 'expat_applicants').</w:t>
            </w:r>
          </w:p>
        </w:tc>
        <w:tc>
          <w:tcPr>
            <w:tcW w:type="dxa" w:w="2160"/>
          </w:tcPr>
          <w:p>
            <w:r>
              <w:t>Investigate the driver of the disparity and remediate before production use.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Numerical fidelity</w:t>
            </w:r>
          </w:p>
        </w:tc>
        <w:tc>
          <w:tcPr>
            <w:tcW w:type="dxa" w:w="2160"/>
          </w:tcPr>
          <w:p>
            <w:r>
              <w:t>3 unsupported figure(s) detected in model output relative to the source document.</w:t>
            </w:r>
          </w:p>
        </w:tc>
        <w:tc>
          <w:tcPr>
            <w:tcW w:type="dxa" w:w="2160"/>
          </w:tcPr>
          <w:p>
            <w:r>
              <w:t>Review flagged figures for material misstatement before relying on the model's numeric output.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Numerical fidelity</w:t>
            </w:r>
          </w:p>
        </w:tc>
        <w:tc>
          <w:tcPr>
            <w:tcW w:type="dxa" w:w="2160"/>
          </w:tcPr>
          <w:p>
            <w:r>
              <w:t>3 unsupported figure(s) detected in model output relative to the source document.</w:t>
            </w:r>
          </w:p>
        </w:tc>
        <w:tc>
          <w:tcPr>
            <w:tcW w:type="dxa" w:w="2160"/>
          </w:tcPr>
          <w:p>
            <w:r>
              <w:t>Review flagged figures for material misstatement before relying on the model's numeric output.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Numerical fidelity</w:t>
            </w:r>
          </w:p>
        </w:tc>
        <w:tc>
          <w:tcPr>
            <w:tcW w:type="dxa" w:w="2160"/>
          </w:tcPr>
          <w:p>
            <w:r>
              <w:t>3 unsupported figure(s) detected in model output relative to the source document.</w:t>
            </w:r>
          </w:p>
        </w:tc>
        <w:tc>
          <w:tcPr>
            <w:tcW w:type="dxa" w:w="2160"/>
          </w:tcPr>
          <w:p>
            <w:r>
              <w:t>Review flagged figures for material misstatement before relying on the model's numeric output.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Regulatory coverage</w:t>
            </w:r>
          </w:p>
        </w:tc>
        <w:tc>
          <w:tcPr>
            <w:tcW w:type="dxa" w:w="2160"/>
          </w:tcPr>
          <w:p>
            <w:r>
              <w:t>Required artifact 'conceptual_soundness_review' is not on file for this model.</w:t>
            </w:r>
          </w:p>
        </w:tc>
        <w:tc>
          <w:tcPr>
            <w:tcW w:type="dxa" w:w="2160"/>
          </w:tcPr>
          <w:p>
            <w:r>
              <w:t>Produce and attach the 'conceptual_soundness_review' artifact.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Regulatory coverage</w:t>
            </w:r>
          </w:p>
        </w:tc>
        <w:tc>
          <w:tcPr>
            <w:tcW w:type="dxa" w:w="2160"/>
          </w:tcPr>
          <w:p>
            <w:r>
              <w:t>Required artifact 'ongoing_monitoring_report' is not on file for this model.</w:t>
            </w:r>
          </w:p>
        </w:tc>
        <w:tc>
          <w:tcPr>
            <w:tcW w:type="dxa" w:w="2160"/>
          </w:tcPr>
          <w:p>
            <w:r>
              <w:t>Produce and attach the 'ongoing_monitoring_report' artifact.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Regulatory coverage</w:t>
            </w:r>
          </w:p>
        </w:tc>
        <w:tc>
          <w:tcPr>
            <w:tcW w:type="dxa" w:w="2160"/>
          </w:tcPr>
          <w:p>
            <w:r>
              <w:t>Required artifact 'outcome_analysis' is not on file for this model.</w:t>
            </w:r>
          </w:p>
        </w:tc>
        <w:tc>
          <w:tcPr>
            <w:tcW w:type="dxa" w:w="2160"/>
          </w:tcPr>
          <w:p>
            <w:r>
              <w:t>Produce and attach the 'outcome_analysis' artifact.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Regulatory coverage</w:t>
            </w:r>
          </w:p>
        </w:tc>
        <w:tc>
          <w:tcPr>
            <w:tcW w:type="dxa" w:w="2160"/>
          </w:tcPr>
          <w:p>
            <w:r>
              <w:t>Required artifact 'data_management_framework' is not on file for this model.</w:t>
            </w:r>
          </w:p>
        </w:tc>
        <w:tc>
          <w:tcPr>
            <w:tcW w:type="dxa" w:w="2160"/>
          </w:tcPr>
          <w:p>
            <w:r>
              <w:t>Produce and attach the 'data_management_framework' artifact.</w:t>
            </w:r>
          </w:p>
        </w:tc>
      </w:tr>
    </w:tbl>
    <w:p>
      <w:pPr>
        <w:pStyle w:val="Heading1"/>
      </w:pPr>
      <w:r>
        <w:t>9. Sign-off</w:t>
      </w:r>
    </w:p>
    <w:p>
      <w:pPr>
        <w:jc w:val="right"/>
        <w:bidi/>
      </w:pPr>
      <w:r>
        <w:rPr>
          <w:rFonts w:ascii="Arial" w:hAnsi="Arial"/>
          <w:b/>
          <w:sz w:val="22"/>
          <w:rtl/>
        </w:rPr>
        <w:t>٩. الاعتماد والتوقيع</w:t>
      </w:r>
    </w:p>
    <w:p>
      <w:r>
        <w:t>This validation is not effective until signed by an independent validator.</w:t>
      </w:r>
    </w:p>
    <w:p>
      <w:pPr>
        <w:jc w:val="right"/>
        <w:bidi/>
      </w:pPr>
      <w:r>
        <w:rPr>
          <w:rFonts w:ascii="Arial" w:hAnsi="Arial"/>
          <w:b/>
          <w:sz w:val="24"/>
          <w:rtl/>
        </w:rPr>
        <w:t>الاعتماد والتوقيع</w:t>
      </w:r>
    </w:p>
    <w:p>
      <w:pPr>
        <w:jc w:val="right"/>
        <w:bidi/>
      </w:pPr>
      <w:r>
        <w:rPr>
          <w:rFonts w:ascii="Arial" w:hAnsi="Arial"/>
          <w:b w:val="0"/>
          <w:sz w:val="22"/>
          <w:rtl/>
        </w:rPr>
        <w:t>لا يُعدّ هذا التحقق نافذاً إلا بعد توقيع جهة تحقق مستقلة.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Independent Validator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Approval Status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