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C0392B"/>
          <w:sz w:val="32"/>
          <w:szCs w:val="32"/>
        </w:rPr>
        <w:t xml:space="preserve">BLACKWELL ADVISORY — SEO-OPTIMISED BLOG POSTS</w:t>
      </w:r>
    </w:p>
    <w:p>
      <w:pPr>
        <w:spacing w:after="120"/>
      </w:pPr>
      <w:r>
        <w:rPr>
          <w:rFonts w:ascii="Arial" w:cs="Arial" w:eastAsia="Arial" w:hAnsi="Arial"/>
          <w:color w:val="555555"/>
          <w:sz w:val="22"/>
          <w:szCs w:val="22"/>
        </w:rPr>
        <w:t xml:space="preserve">Four fully rewritten blog posts ready for CMS upload. Each includes: Title tag, Meta description, primary keyword, H1, H2s, full body copy, FAQ section, and CTA.</w:t>
      </w:r>
    </w:p>
    <w:p>
      <w:pPr>
        <w:spacing w:after="600"/>
      </w:pPr>
      <w:r>
        <w:rPr>
          <w:rFonts w:ascii="Arial" w:cs="Arial" w:eastAsia="Arial" w:hAnsi="Arial"/>
          <w:color w:val="888888"/>
          <w:sz w:val="20"/>
          <w:szCs w:val="20"/>
        </w:rPr>
        <w:t xml:space="preserve">Do not copy heading numbers or metadata labels into the CMS — these are editorial notes only.</w:t>
      </w:r>
    </w:p>
    <w:p>
      <w:pPr>
        <w:pBdr>
          <w:bottom w:val="single" w:color="C0392B" w:sz="6" w:space="4"/>
        </w:pBdr>
        <w:spacing w:after="240"/>
      </w:pPr>
    </w:p>
    <w:p>
      <w:pPr>
        <w:pStyle w:val="Heading1"/>
        <w:spacing w:before="480" w:after="240"/>
      </w:pPr>
      <w:r>
        <w:rPr>
          <w:rFonts w:ascii="Arial" w:cs="Arial" w:eastAsia="Arial" w:hAnsi="Arial"/>
          <w:b/>
          <w:bCs/>
          <w:sz w:val="40"/>
          <w:szCs w:val="40"/>
        </w:rPr>
        <w:t xml:space="preserve">POST 1 — Employment Tribunal Risk</w:t>
      </w:r>
    </w:p>
    <w:p>
      <w:pPr>
        <w:spacing w:after="80"/>
      </w:pPr>
      <w:r>
        <w:rPr>
          <w:rFonts w:ascii="Arial" w:cs="Arial" w:eastAsia="Arial" w:hAnsi="Arial"/>
          <w:b/>
          <w:bCs/>
          <w:color w:val="888888"/>
          <w:sz w:val="20"/>
          <w:szCs w:val="20"/>
        </w:rPr>
        <w:t xml:space="preserve">URL slug: </w:t>
      </w:r>
      <w:r>
        <w:rPr>
          <w:rFonts w:ascii="Arial" w:cs="Arial" w:eastAsia="Arial" w:hAnsi="Arial"/>
          <w:color w:val="888888"/>
          <w:sz w:val="20"/>
          <w:szCs w:val="20"/>
        </w:rPr>
        <w:t xml:space="preserve">/blog/average-cost-of-an-employment-tribunal-in-the-uk</w:t>
      </w:r>
    </w:p>
    <w:p>
      <w:pPr>
        <w:spacing w:after="80"/>
      </w:pPr>
      <w:r>
        <w:rPr>
          <w:rFonts w:ascii="Arial" w:cs="Arial" w:eastAsia="Arial" w:hAnsi="Arial"/>
          <w:b/>
          <w:bCs/>
          <w:color w:val="888888"/>
          <w:sz w:val="20"/>
          <w:szCs w:val="20"/>
        </w:rPr>
        <w:t xml:space="preserve">Title tag: </w:t>
      </w:r>
      <w:r>
        <w:rPr>
          <w:rFonts w:ascii="Arial" w:cs="Arial" w:eastAsia="Arial" w:hAnsi="Arial"/>
          <w:color w:val="888888"/>
          <w:sz w:val="20"/>
          <w:szCs w:val="20"/>
        </w:rPr>
        <w:t xml:space="preserve">Average Cost of an Employment Tribunal in the UK (2025) | Blackwell Advisory</w:t>
      </w:r>
    </w:p>
    <w:p>
      <w:pPr>
        <w:spacing w:after="80"/>
      </w:pPr>
      <w:r>
        <w:rPr>
          <w:rFonts w:ascii="Arial" w:cs="Arial" w:eastAsia="Arial" w:hAnsi="Arial"/>
          <w:b/>
          <w:bCs/>
          <w:color w:val="888888"/>
          <w:sz w:val="20"/>
          <w:szCs w:val="20"/>
        </w:rPr>
        <w:t xml:space="preserve">Meta description: </w:t>
      </w:r>
      <w:r>
        <w:rPr>
          <w:rFonts w:ascii="Arial" w:cs="Arial" w:eastAsia="Arial" w:hAnsi="Arial"/>
          <w:color w:val="888888"/>
          <w:sz w:val="20"/>
          <w:szCs w:val="20"/>
        </w:rPr>
        <w:t xml:space="preserve">Employment tribunals cost UK employers far more than legal fees. Understand the real direct and hidden costs — and how to reduce exposure before a claim lands.</w:t>
      </w:r>
    </w:p>
    <w:p>
      <w:pPr>
        <w:spacing w:after="80"/>
      </w:pPr>
      <w:r>
        <w:rPr>
          <w:rFonts w:ascii="Arial" w:cs="Arial" w:eastAsia="Arial" w:hAnsi="Arial"/>
          <w:b/>
          <w:bCs/>
          <w:color w:val="888888"/>
          <w:sz w:val="20"/>
          <w:szCs w:val="20"/>
        </w:rPr>
        <w:t xml:space="preserve">Primary keyword: </w:t>
      </w:r>
      <w:r>
        <w:rPr>
          <w:rFonts w:ascii="Arial" w:cs="Arial" w:eastAsia="Arial" w:hAnsi="Arial"/>
          <w:color w:val="888888"/>
          <w:sz w:val="20"/>
          <w:szCs w:val="20"/>
        </w:rPr>
        <w:t xml:space="preserve">average cost of employment tribunal UK</w:t>
      </w:r>
    </w:p>
    <w:p>
      <w:pPr>
        <w:spacing w:after="80"/>
      </w:pPr>
      <w:r>
        <w:rPr>
          <w:rFonts w:ascii="Arial" w:cs="Arial" w:eastAsia="Arial" w:hAnsi="Arial"/>
          <w:b/>
          <w:bCs/>
          <w:color w:val="888888"/>
          <w:sz w:val="20"/>
          <w:szCs w:val="20"/>
        </w:rPr>
        <w:t xml:space="preserve">Secondary keywords: </w:t>
      </w:r>
      <w:r>
        <w:rPr>
          <w:rFonts w:ascii="Arial" w:cs="Arial" w:eastAsia="Arial" w:hAnsi="Arial"/>
          <w:color w:val="888888"/>
          <w:sz w:val="20"/>
          <w:szCs w:val="20"/>
        </w:rPr>
        <w:t xml:space="preserve">employment tribunal costs employer, how much does an employment tribunal cost, defending tribunal claim UK SME</w:t>
      </w:r>
    </w:p>
    <w:p>
      <w:pPr>
        <w:spacing w:after="80"/>
      </w:pPr>
      <w:r>
        <w:rPr>
          <w:rFonts w:ascii="Arial" w:cs="Arial" w:eastAsia="Arial" w:hAnsi="Arial"/>
          <w:b/>
          <w:bCs/>
          <w:color w:val="888888"/>
          <w:sz w:val="20"/>
          <w:szCs w:val="20"/>
        </w:rPr>
        <w:t xml:space="preserve">Word count target: </w:t>
      </w:r>
      <w:r>
        <w:rPr>
          <w:rFonts w:ascii="Arial" w:cs="Arial" w:eastAsia="Arial" w:hAnsi="Arial"/>
          <w:color w:val="888888"/>
          <w:sz w:val="20"/>
          <w:szCs w:val="20"/>
        </w:rPr>
        <w:t xml:space="preserve">~950 words</w:t>
      </w:r>
    </w:p>
    <w:p>
      <w:pPr>
        <w:pBdr>
          <w:bottom w:val="single" w:color="C0392B" w:sz="6" w:space="4"/>
        </w:pBdr>
        <w:spacing w:after="240"/>
      </w:pPr>
    </w:p>
    <w:p>
      <w:pPr>
        <w:pStyle w:val="Heading1"/>
        <w:spacing w:before="360" w:after="240"/>
      </w:pPr>
      <w:r>
        <w:rPr>
          <w:rFonts w:ascii="Arial" w:cs="Arial" w:eastAsia="Arial" w:hAnsi="Arial"/>
          <w:b/>
          <w:bCs/>
          <w:sz w:val="40"/>
          <w:szCs w:val="40"/>
        </w:rPr>
        <w:t xml:space="preserve">Average Cost of an Employment Tribunal in the UK for Employers</w:t>
      </w:r>
    </w:p>
    <w:p>
      <w:pPr>
        <w:spacing w:after="200"/>
      </w:pPr>
      <w:r>
        <w:rPr>
          <w:rFonts w:ascii="Arial" w:cs="Arial" w:eastAsia="Arial" w:hAnsi="Arial"/>
          <w:sz w:val="24"/>
          <w:szCs w:val="24"/>
        </w:rPr>
        <w:t xml:space="preserve">If you have never faced an employment tribunal claim, it is easy to think of it as a distant, unlikely event. Most SME owners do, until the letter arrives. At that point, the real cost of inadequate employment contracts and poor documentation becomes very concrete, very quickly.</w:t>
      </w:r>
    </w:p>
    <w:p>
      <w:pPr>
        <w:spacing w:after="200"/>
      </w:pPr>
      <w:r>
        <w:rPr>
          <w:rFonts w:ascii="Arial" w:cs="Arial" w:eastAsia="Arial" w:hAnsi="Arial"/>
          <w:sz w:val="24"/>
          <w:szCs w:val="24"/>
        </w:rPr>
        <w:t xml:space="preserve">This article gives you a realistic breakdown of what employers actually pay when a tribunal claim is brought against them — direct legal spend, settlement sums, management time, and the indirect costs that rarely appear in headline figures.</w:t>
      </w:r>
    </w:p>
    <w:p>
      <w:pPr>
        <w:pStyle w:val="Heading2"/>
        <w:spacing w:before="360" w:after="180"/>
      </w:pPr>
      <w:r>
        <w:rPr>
          <w:rFonts w:ascii="Arial" w:cs="Arial" w:eastAsia="Arial" w:hAnsi="Arial"/>
          <w:b/>
          <w:bCs/>
          <w:color w:val="C0392B"/>
          <w:sz w:val="30"/>
          <w:szCs w:val="30"/>
        </w:rPr>
        <w:t xml:space="preserve">What Does an Employment Tribunal Actually Cost an Employer?</w:t>
      </w:r>
    </w:p>
    <w:p>
      <w:pPr>
        <w:spacing w:after="200"/>
      </w:pPr>
      <w:r>
        <w:rPr>
          <w:rFonts w:ascii="Arial" w:cs="Arial" w:eastAsia="Arial" w:hAnsi="Arial"/>
          <w:sz w:val="24"/>
          <w:szCs w:val="24"/>
        </w:rPr>
        <w:t xml:space="preserve">There is no single answer, but the range is wide enough to matter at any business size. For a straightforward unfair dismissal claim that settles before a full hearing, employers typically spend between £8,000 and £20,000 when all costs are included. For claims that proceed to a full tribunal hearing, that figure can reach £30,000 to £60,000 or more — including solicitor fees, barrister costs, management time, and any award made.</w:t>
      </w:r>
    </w:p>
    <w:p>
      <w:pPr>
        <w:spacing w:after="200"/>
      </w:pPr>
      <w:r>
        <w:rPr>
          <w:rFonts w:ascii="Arial" w:cs="Arial" w:eastAsia="Arial" w:hAnsi="Arial"/>
          <w:sz w:val="24"/>
          <w:szCs w:val="24"/>
        </w:rPr>
        <w:t xml:space="preserve">The Employment Tribunal itself does not charge employers a fee. That was abolished in 2017. What it does is expose you to the costs of defending the claim, and in some cases, to an award in the claimant's favour.</w:t>
      </w:r>
    </w:p>
    <w:p>
      <w:pPr>
        <w:pStyle w:val="Heading2"/>
        <w:spacing w:before="360" w:after="180"/>
      </w:pPr>
      <w:r>
        <w:rPr>
          <w:rFonts w:ascii="Arial" w:cs="Arial" w:eastAsia="Arial" w:hAnsi="Arial"/>
          <w:b/>
          <w:bCs/>
          <w:color w:val="C0392B"/>
          <w:sz w:val="30"/>
          <w:szCs w:val="30"/>
        </w:rPr>
        <w:t xml:space="preserve">The Four Cost Categories Employers Consistently Underestimate</w:t>
      </w:r>
    </w:p>
    <w:p>
      <w:pPr>
        <w:pStyle w:val="Heading3"/>
        <w:spacing w:before="240" w:after="120"/>
      </w:pPr>
      <w:r>
        <w:rPr>
          <w:rFonts w:ascii="Arial" w:cs="Arial" w:eastAsia="Arial" w:hAnsi="Arial"/>
          <w:b/>
          <w:bCs/>
          <w:sz w:val="26"/>
          <w:szCs w:val="26"/>
        </w:rPr>
        <w:t xml:space="preserve">1. Direct Legal Spend</w:t>
      </w:r>
    </w:p>
    <w:p>
      <w:pPr>
        <w:spacing w:after="200"/>
      </w:pPr>
      <w:r>
        <w:rPr>
          <w:rFonts w:ascii="Arial" w:cs="Arial" w:eastAsia="Arial" w:hAnsi="Arial"/>
          <w:sz w:val="24"/>
          <w:szCs w:val="24"/>
        </w:rPr>
        <w:t xml:space="preserve">Solicitor fees for managing a defended tribunal claim start at around £5,000 for early advice and basic case management, and rise steeply as the claim progresses toward a hearing. Barrister fees for a one-day hearing can add another £3,000 to £8,000. Legal costs are rarely recoverable from the claimant in employment tribunal proceedings.</w:t>
      </w:r>
    </w:p>
    <w:p>
      <w:pPr>
        <w:pStyle w:val="Heading3"/>
        <w:spacing w:before="240" w:after="120"/>
      </w:pPr>
      <w:r>
        <w:rPr>
          <w:rFonts w:ascii="Arial" w:cs="Arial" w:eastAsia="Arial" w:hAnsi="Arial"/>
          <w:b/>
          <w:bCs/>
          <w:sz w:val="26"/>
          <w:szCs w:val="26"/>
        </w:rPr>
        <w:t xml:space="preserve">2. Settlement Sums</w:t>
      </w:r>
    </w:p>
    <w:p>
      <w:pPr>
        <w:spacing w:after="200"/>
      </w:pPr>
      <w:r>
        <w:rPr>
          <w:rFonts w:ascii="Arial" w:cs="Arial" w:eastAsia="Arial" w:hAnsi="Arial"/>
          <w:sz w:val="24"/>
          <w:szCs w:val="24"/>
        </w:rPr>
        <w:t xml:space="preserve">Most employers settle before a full hearing. This is not always because the claim has merit — it is often because the cost and management distraction of defending outweighs a negotiated exit. The average settlement for an unfair dismissal claim in the UK is in the range of £5,000 to £15,000, depending on factors including length of service, salary, and the strength of the employer's documentation.</w:t>
      </w:r>
    </w:p>
    <w:p>
      <w:pPr>
        <w:spacing w:after="200"/>
      </w:pPr>
      <w:r>
        <w:rPr>
          <w:rFonts w:ascii="Arial" w:cs="Arial" w:eastAsia="Arial" w:hAnsi="Arial"/>
          <w:sz w:val="24"/>
          <w:szCs w:val="24"/>
        </w:rPr>
        <w:t xml:space="preserve">Weak paperwork increases your settlement exposure significantly. If your disciplinary records are inconsistent, your contracts are outdated, or your investigation notes do not hold up, your negotiating position collapses.</w:t>
      </w:r>
    </w:p>
    <w:p>
      <w:pPr>
        <w:pStyle w:val="Heading3"/>
        <w:spacing w:before="240" w:after="120"/>
      </w:pPr>
      <w:r>
        <w:rPr>
          <w:rFonts w:ascii="Arial" w:cs="Arial" w:eastAsia="Arial" w:hAnsi="Arial"/>
          <w:b/>
          <w:bCs/>
          <w:sz w:val="26"/>
          <w:szCs w:val="26"/>
        </w:rPr>
        <w:t xml:space="preserve">3. Management Time and Productivity Loss</w:t>
      </w:r>
    </w:p>
    <w:p>
      <w:pPr>
        <w:spacing w:after="200"/>
      </w:pPr>
      <w:r>
        <w:rPr>
          <w:rFonts w:ascii="Arial" w:cs="Arial" w:eastAsia="Arial" w:hAnsi="Arial"/>
          <w:sz w:val="24"/>
          <w:szCs w:val="24"/>
        </w:rPr>
        <w:t xml:space="preserve">This is the cost that never appears on an invoice but consistently surprises business owners. A defended tribunal claim typically absorbs 20 to 40 days of management and HR time across the life of a case — drafting responses, attending ACAS early conciliation, preparing witness statements, reviewing disclosures, and attending hearings. At any salary level above £30,000, that internal time cost alone runs into thousands of pounds.</w:t>
      </w:r>
    </w:p>
    <w:p>
      <w:pPr>
        <w:pStyle w:val="Heading3"/>
        <w:spacing w:before="240" w:after="120"/>
      </w:pPr>
      <w:r>
        <w:rPr>
          <w:rFonts w:ascii="Arial" w:cs="Arial" w:eastAsia="Arial" w:hAnsi="Arial"/>
          <w:b/>
          <w:bCs/>
          <w:sz w:val="26"/>
          <w:szCs w:val="26"/>
        </w:rPr>
        <w:t xml:space="preserve">4. Disruption, Morale, and Retention Impact</w:t>
      </w:r>
    </w:p>
    <w:p>
      <w:pPr>
        <w:spacing w:after="200"/>
      </w:pPr>
      <w:r>
        <w:rPr>
          <w:rFonts w:ascii="Arial" w:cs="Arial" w:eastAsia="Arial" w:hAnsi="Arial"/>
          <w:sz w:val="24"/>
          <w:szCs w:val="24"/>
        </w:rPr>
        <w:t xml:space="preserve">Live claims create operational uncertainty. Managers involved as witnesses become cautious and risk-averse. Other employees observe how the process unfolds and draw their own conclusions. In small teams, this effect is concentrated and harder to contain. It is genuinely difficult to quantify, but it is real and documented.</w:t>
      </w:r>
    </w:p>
    <w:p>
      <w:pPr>
        <w:pStyle w:val="Heading2"/>
        <w:spacing w:before="360" w:after="180"/>
      </w:pPr>
      <w:r>
        <w:rPr>
          <w:rFonts w:ascii="Arial" w:cs="Arial" w:eastAsia="Arial" w:hAnsi="Arial"/>
          <w:b/>
          <w:bCs/>
          <w:color w:val="C0392B"/>
          <w:sz w:val="30"/>
          <w:szCs w:val="30"/>
        </w:rPr>
        <w:t xml:space="preserve">Why Your Paperwork Determines Your Settlement Position</w:t>
      </w:r>
    </w:p>
    <w:p>
      <w:pPr>
        <w:spacing w:after="200"/>
      </w:pPr>
      <w:r>
        <w:rPr>
          <w:rFonts w:ascii="Arial" w:cs="Arial" w:eastAsia="Arial" w:hAnsi="Arial"/>
          <w:sz w:val="24"/>
          <w:szCs w:val="24"/>
        </w:rPr>
        <w:t xml:space="preserve">The single most reliable predictor of employer leverage in a tribunal claim is not the facts of the dismissal itself. It is the quality and consistency of the documentation. Employers with clear contractual terms, a properly followed disciplinary procedure, contemporaneous investigation notes, and signed written warnings are in a fundamentally different negotiating position to those without.</w:t>
      </w:r>
    </w:p>
    <w:p>
      <w:pPr>
        <w:spacing w:after="200"/>
      </w:pPr>
      <w:r>
        <w:rPr>
          <w:rFonts w:ascii="Arial" w:cs="Arial" w:eastAsia="Arial" w:hAnsi="Arial"/>
          <w:sz w:val="24"/>
          <w:szCs w:val="24"/>
        </w:rPr>
        <w:t xml:space="preserve">Claimant solicitors know this. The first thing they assess is whether your paperwork holds up. If it does not, they will push hard on settlement because they know you will settle to avoid the exposure of a hearing. If it does, meritless claims are much more likely to fail at an early stage or result in a negligible award.</w:t>
      </w:r>
    </w:p>
    <w:p>
      <w:pPr>
        <w:spacing w:after="200"/>
      </w:pPr>
      <w:r>
        <w:rPr>
          <w:rFonts w:ascii="Arial" w:cs="Arial" w:eastAsia="Arial" w:hAnsi="Arial"/>
          <w:sz w:val="24"/>
          <w:szCs w:val="24"/>
        </w:rPr>
        <w:t xml:space="preserve">This is why reviewing and fixing your employment contracts and policies before a claim arises is not a compliance exercise — it is a commercial one. The cost of a fixed-fee contract review is a fraction of the cost of a single defended tribunal claim.</w:t>
      </w:r>
    </w:p>
    <w:p>
      <w:pPr>
        <w:pStyle w:val="Heading2"/>
        <w:spacing w:before="360" w:after="180"/>
      </w:pPr>
      <w:r>
        <w:rPr>
          <w:rFonts w:ascii="Arial" w:cs="Arial" w:eastAsia="Arial" w:hAnsi="Arial"/>
          <w:b/>
          <w:bCs/>
          <w:color w:val="C0392B"/>
          <w:sz w:val="30"/>
          <w:szCs w:val="30"/>
        </w:rPr>
        <w:t xml:space="preserve">Frequently Asked Questions</w:t>
      </w:r>
    </w:p>
    <w:p>
      <w:pPr>
        <w:spacing w:after="200"/>
      </w:pPr>
      <w:r>
        <w:rPr>
          <w:rFonts w:ascii="Arial" w:cs="Arial" w:eastAsia="Arial" w:hAnsi="Arial"/>
          <w:b/>
          <w:bCs/>
          <w:sz w:val="24"/>
          <w:szCs w:val="24"/>
        </w:rPr>
        <w:t xml:space="preserve">Can an employee recover legal costs from an employer at tribunal? </w:t>
      </w:r>
      <w:r>
        <w:rPr>
          <w:rFonts w:ascii="Arial" w:cs="Arial" w:eastAsia="Arial" w:hAnsi="Arial"/>
          <w:sz w:val="24"/>
          <w:szCs w:val="24"/>
        </w:rPr>
        <w:t xml:space="preserve">Generally no. Employment tribunals operate on a no-costs principle. Costs can only be awarded where a party has behaved unreasonably, vexatiously, or disruptively. Employers rarely recover costs even when they win.</w:t>
      </w:r>
    </w:p>
    <w:p>
      <w:pPr>
        <w:spacing w:after="200"/>
      </w:pPr>
      <w:r>
        <w:rPr>
          <w:rFonts w:ascii="Arial" w:cs="Arial" w:eastAsia="Arial" w:hAnsi="Arial"/>
          <w:b/>
          <w:bCs/>
          <w:sz w:val="24"/>
          <w:szCs w:val="24"/>
        </w:rPr>
        <w:t xml:space="preserve">What is the maximum unfair dismissal award? </w:t>
      </w:r>
      <w:r>
        <w:rPr>
          <w:rFonts w:ascii="Arial" w:cs="Arial" w:eastAsia="Arial" w:hAnsi="Arial"/>
          <w:sz w:val="24"/>
          <w:szCs w:val="24"/>
        </w:rPr>
        <w:t xml:space="preserve">For claims presented from April 2024, the compensatory award cap is the lower of one year's gross pay or £115,115. The basic award is calculated separately using the statutory redundancy formula.</w:t>
      </w:r>
    </w:p>
    <w:p>
      <w:pPr>
        <w:spacing w:after="200"/>
      </w:pPr>
      <w:r>
        <w:rPr>
          <w:rFonts w:ascii="Arial" w:cs="Arial" w:eastAsia="Arial" w:hAnsi="Arial"/>
          <w:b/>
          <w:bCs/>
          <w:sz w:val="24"/>
          <w:szCs w:val="24"/>
        </w:rPr>
        <w:t xml:space="preserve">Does ACAS early conciliation affect costs? </w:t>
      </w:r>
      <w:r>
        <w:rPr>
          <w:rFonts w:ascii="Arial" w:cs="Arial" w:eastAsia="Arial" w:hAnsi="Arial"/>
          <w:sz w:val="24"/>
          <w:szCs w:val="24"/>
        </w:rPr>
        <w:t xml:space="preserve">It can. ACAS early conciliation is mandatory before a claim can be issued. Settlement reached through ACAS is typically faster and cheaper than a defended hearing. Employers who engage constructively with ACAS tend to resolve claims at lower cost.</w:t>
      </w:r>
    </w:p>
    <w:p>
      <w:pPr>
        <w:spacing w:after="200"/>
      </w:pPr>
      <w:r>
        <w:rPr>
          <w:rFonts w:ascii="Arial" w:cs="Arial" w:eastAsia="Arial" w:hAnsi="Arial"/>
          <w:b/>
          <w:bCs/>
          <w:sz w:val="24"/>
          <w:szCs w:val="24"/>
        </w:rPr>
        <w:t xml:space="preserve">What if I win at tribunal? </w:t>
      </w:r>
      <w:r>
        <w:rPr>
          <w:rFonts w:ascii="Arial" w:cs="Arial" w:eastAsia="Arial" w:hAnsi="Arial"/>
          <w:sz w:val="24"/>
          <w:szCs w:val="24"/>
        </w:rPr>
        <w:t xml:space="preserve">You avoid the award, but you still bear your own legal and management costs. Winning at tribunal is not free. This is why prevention is consistently cheaper than defence.</w:t>
      </w:r>
    </w:p>
    <w:p>
      <w:pPr>
        <w:pBdr>
          <w:left w:val="single" w:color="C0392B" w:sz="12" w:space="8"/>
        </w:pBdr>
        <w:shd w:fill="FDF0EE" w:val="clear"/>
        <w:spacing w:before="360" w:after="360"/>
      </w:pPr>
      <w:r>
        <w:rPr>
          <w:rFonts w:ascii="Arial" w:cs="Arial" w:eastAsia="Arial" w:hAnsi="Arial"/>
          <w:b/>
          <w:bCs/>
          <w:sz w:val="24"/>
          <w:szCs w:val="24"/>
        </w:rPr>
        <w:t xml:space="preserve">Want to know where your contracts are exposed? </w:t>
      </w:r>
      <w:r>
        <w:rPr>
          <w:rFonts w:ascii="Arial" w:cs="Arial" w:eastAsia="Arial" w:hAnsi="Arial"/>
          <w:sz w:val="24"/>
          <w:szCs w:val="24"/>
        </w:rPr>
        <w:t xml:space="preserve">Book a no-obligation discovery call with Blackwell Advisory. Fixed fee. No retainer required. blackwell-advisory.org/contact</w:t>
      </w:r>
    </w:p>
    <w:p>
      <w:pPr>
        <w:pageBreakBefore/>
      </w:pPr>
    </w:p>
    <w:p>
      <w:pPr>
        <w:pStyle w:val="Heading1"/>
        <w:spacing w:before="480" w:after="240"/>
      </w:pPr>
      <w:r>
        <w:rPr>
          <w:rFonts w:ascii="Arial" w:cs="Arial" w:eastAsia="Arial" w:hAnsi="Arial"/>
          <w:b/>
          <w:bCs/>
          <w:sz w:val="40"/>
          <w:szCs w:val="40"/>
        </w:rPr>
        <w:t xml:space="preserve">POST 2 — Redundancy and Dismissal Procedures</w:t>
      </w:r>
    </w:p>
    <w:p>
      <w:pPr>
        <w:spacing w:after="80"/>
      </w:pPr>
      <w:r>
        <w:rPr>
          <w:rFonts w:ascii="Arial" w:cs="Arial" w:eastAsia="Arial" w:hAnsi="Arial"/>
          <w:b/>
          <w:bCs/>
          <w:color w:val="888888"/>
          <w:sz w:val="20"/>
          <w:szCs w:val="20"/>
        </w:rPr>
        <w:t xml:space="preserve">URL slug: </w:t>
      </w:r>
      <w:r>
        <w:rPr>
          <w:rFonts w:ascii="Arial" w:cs="Arial" w:eastAsia="Arial" w:hAnsi="Arial"/>
          <w:color w:val="888888"/>
          <w:sz w:val="20"/>
          <w:szCs w:val="20"/>
        </w:rPr>
        <w:t xml:space="preserve">/blog/how-to-avoid-unfair-dismissal-claims</w:t>
      </w:r>
    </w:p>
    <w:p>
      <w:pPr>
        <w:spacing w:after="80"/>
      </w:pPr>
      <w:r>
        <w:rPr>
          <w:rFonts w:ascii="Arial" w:cs="Arial" w:eastAsia="Arial" w:hAnsi="Arial"/>
          <w:b/>
          <w:bCs/>
          <w:color w:val="888888"/>
          <w:sz w:val="20"/>
          <w:szCs w:val="20"/>
        </w:rPr>
        <w:t xml:space="preserve">Title tag: </w:t>
      </w:r>
      <w:r>
        <w:rPr>
          <w:rFonts w:ascii="Arial" w:cs="Arial" w:eastAsia="Arial" w:hAnsi="Arial"/>
          <w:color w:val="888888"/>
          <w:sz w:val="20"/>
          <w:szCs w:val="20"/>
        </w:rPr>
        <w:t xml:space="preserve">How to Avoid Unfair Dismissal Claims in UK SMEs | Blackwell Advisory</w:t>
      </w:r>
    </w:p>
    <w:p>
      <w:pPr>
        <w:spacing w:after="80"/>
      </w:pPr>
      <w:r>
        <w:rPr>
          <w:rFonts w:ascii="Arial" w:cs="Arial" w:eastAsia="Arial" w:hAnsi="Arial"/>
          <w:b/>
          <w:bCs/>
          <w:color w:val="888888"/>
          <w:sz w:val="20"/>
          <w:szCs w:val="20"/>
        </w:rPr>
        <w:t xml:space="preserve">Meta description: </w:t>
      </w:r>
      <w:r>
        <w:rPr>
          <w:rFonts w:ascii="Arial" w:cs="Arial" w:eastAsia="Arial" w:hAnsi="Arial"/>
          <w:color w:val="888888"/>
          <w:sz w:val="20"/>
          <w:szCs w:val="20"/>
        </w:rPr>
        <w:t xml:space="preserve">Unfair dismissal risk is almost always procedural. Here is what SME employers need to do before, during, and after a dismissal to stay on the right side of a tribunal.</w:t>
      </w:r>
    </w:p>
    <w:p>
      <w:pPr>
        <w:spacing w:after="80"/>
      </w:pPr>
      <w:r>
        <w:rPr>
          <w:rFonts w:ascii="Arial" w:cs="Arial" w:eastAsia="Arial" w:hAnsi="Arial"/>
          <w:b/>
          <w:bCs/>
          <w:color w:val="888888"/>
          <w:sz w:val="20"/>
          <w:szCs w:val="20"/>
        </w:rPr>
        <w:t xml:space="preserve">Primary keyword: </w:t>
      </w:r>
      <w:r>
        <w:rPr>
          <w:rFonts w:ascii="Arial" w:cs="Arial" w:eastAsia="Arial" w:hAnsi="Arial"/>
          <w:color w:val="888888"/>
          <w:sz w:val="20"/>
          <w:szCs w:val="20"/>
        </w:rPr>
        <w:t xml:space="preserve">how to avoid unfair dismissal claims UK</w:t>
      </w:r>
    </w:p>
    <w:p>
      <w:pPr>
        <w:spacing w:after="80"/>
      </w:pPr>
      <w:r>
        <w:rPr>
          <w:rFonts w:ascii="Arial" w:cs="Arial" w:eastAsia="Arial" w:hAnsi="Arial"/>
          <w:b/>
          <w:bCs/>
          <w:color w:val="888888"/>
          <w:sz w:val="20"/>
          <w:szCs w:val="20"/>
        </w:rPr>
        <w:t xml:space="preserve">Secondary keywords: </w:t>
      </w:r>
      <w:r>
        <w:rPr>
          <w:rFonts w:ascii="Arial" w:cs="Arial" w:eastAsia="Arial" w:hAnsi="Arial"/>
          <w:color w:val="888888"/>
          <w:sz w:val="20"/>
          <w:szCs w:val="20"/>
        </w:rPr>
        <w:t xml:space="preserve">unfair dismissal SME, dismissal procedure UK employer, avoiding employment tribunal, fair dismissal process</w:t>
      </w:r>
    </w:p>
    <w:p>
      <w:pPr>
        <w:spacing w:after="80"/>
      </w:pPr>
      <w:r>
        <w:rPr>
          <w:rFonts w:ascii="Arial" w:cs="Arial" w:eastAsia="Arial" w:hAnsi="Arial"/>
          <w:b/>
          <w:bCs/>
          <w:color w:val="888888"/>
          <w:sz w:val="20"/>
          <w:szCs w:val="20"/>
        </w:rPr>
        <w:t xml:space="preserve">Word count target: </w:t>
      </w:r>
      <w:r>
        <w:rPr>
          <w:rFonts w:ascii="Arial" w:cs="Arial" w:eastAsia="Arial" w:hAnsi="Arial"/>
          <w:color w:val="888888"/>
          <w:sz w:val="20"/>
          <w:szCs w:val="20"/>
        </w:rPr>
        <w:t xml:space="preserve">~950 words</w:t>
      </w:r>
    </w:p>
    <w:p>
      <w:pPr>
        <w:pBdr>
          <w:bottom w:val="single" w:color="C0392B" w:sz="6" w:space="4"/>
        </w:pBdr>
        <w:spacing w:after="240"/>
      </w:pPr>
    </w:p>
    <w:p>
      <w:pPr>
        <w:pStyle w:val="Heading1"/>
        <w:spacing w:before="360" w:after="240"/>
      </w:pPr>
      <w:r>
        <w:rPr>
          <w:rFonts w:ascii="Arial" w:cs="Arial" w:eastAsia="Arial" w:hAnsi="Arial"/>
          <w:b/>
          <w:bCs/>
          <w:sz w:val="40"/>
          <w:szCs w:val="40"/>
        </w:rPr>
        <w:t xml:space="preserve">How to Avoid Unfair Dismissal Claims in UK SMEs</w:t>
      </w:r>
    </w:p>
    <w:p>
      <w:pPr>
        <w:spacing w:after="200"/>
      </w:pPr>
      <w:r>
        <w:rPr>
          <w:rFonts w:ascii="Arial" w:cs="Arial" w:eastAsia="Arial" w:hAnsi="Arial"/>
          <w:sz w:val="24"/>
          <w:szCs w:val="24"/>
        </w:rPr>
        <w:t xml:space="preserve">Most unfair dismissal claims are not won or lost on whether the employer had a good reason to dismiss. They are won or lost on whether the employer followed the right process. This is the part that consistently catches SME owners out — and it is entirely preventable.</w:t>
      </w:r>
    </w:p>
    <w:p>
      <w:pPr>
        <w:spacing w:after="200"/>
      </w:pPr>
      <w:r>
        <w:rPr>
          <w:rFonts w:ascii="Arial" w:cs="Arial" w:eastAsia="Arial" w:hAnsi="Arial"/>
          <w:sz w:val="24"/>
          <w:szCs w:val="24"/>
        </w:rPr>
        <w:t xml:space="preserve">This guide sets out the process controls, documentation standards, and manager disciplines that form the practical minimum for any employer who wants to reduce unfair dismissal exposure.</w:t>
      </w:r>
    </w:p>
    <w:p>
      <w:pPr>
        <w:pStyle w:val="Heading2"/>
        <w:spacing w:before="360" w:after="180"/>
      </w:pPr>
      <w:r>
        <w:rPr>
          <w:rFonts w:ascii="Arial" w:cs="Arial" w:eastAsia="Arial" w:hAnsi="Arial"/>
          <w:b/>
          <w:bCs/>
          <w:color w:val="C0392B"/>
          <w:sz w:val="30"/>
          <w:szCs w:val="30"/>
        </w:rPr>
        <w:t xml:space="preserve">What Actually Triggers an Unfair Dismissal Claim?</w:t>
      </w:r>
    </w:p>
    <w:p>
      <w:pPr>
        <w:spacing w:after="200"/>
      </w:pPr>
      <w:r>
        <w:rPr>
          <w:rFonts w:ascii="Arial" w:cs="Arial" w:eastAsia="Arial" w:hAnsi="Arial"/>
          <w:sz w:val="24"/>
          <w:szCs w:val="24"/>
        </w:rPr>
        <w:t xml:space="preserve">An employee with two or more years of continuous employment has the right to bring an unfair dismissal claim. To succeed, they need to show that the employer either had no valid reason for dismissal, or had a potentially valid reason but failed to follow a reasonable procedure in acting on it.</w:t>
      </w:r>
    </w:p>
    <w:p>
      <w:pPr>
        <w:spacing w:after="200"/>
      </w:pPr>
      <w:r>
        <w:rPr>
          <w:rFonts w:ascii="Arial" w:cs="Arial" w:eastAsia="Arial" w:hAnsi="Arial"/>
          <w:sz w:val="24"/>
          <w:szCs w:val="24"/>
        </w:rPr>
        <w:t xml:space="preserve">The second category — procedural unfairness — accounts for the majority of successful claims. Tribunals apply a range of reasonable responses test: they do not ask whether dismissal was the only or best decision, but whether it fell within the range of reasonable responses available to a reasonable employer. An employer who had good grounds but handled the process badly will still lose.</w:t>
      </w:r>
    </w:p>
    <w:p>
      <w:pPr>
        <w:spacing w:after="200"/>
      </w:pPr>
      <w:r>
        <w:rPr>
          <w:rFonts w:ascii="Arial" w:cs="Arial" w:eastAsia="Arial" w:hAnsi="Arial"/>
          <w:sz w:val="24"/>
          <w:szCs w:val="24"/>
        </w:rPr>
        <w:t xml:space="preserve">Common procedural failures include: not giving adequate warning before a final warning, conducting investigations without proper notes, making dismissal decisions before a formal hearing, failing to offer a right of appeal, and inconsistency in how similar conduct is treated across different employees.</w:t>
      </w:r>
    </w:p>
    <w:p>
      <w:pPr>
        <w:pStyle w:val="Heading2"/>
        <w:spacing w:before="360" w:after="180"/>
      </w:pPr>
      <w:r>
        <w:rPr>
          <w:rFonts w:ascii="Arial" w:cs="Arial" w:eastAsia="Arial" w:hAnsi="Arial"/>
          <w:b/>
          <w:bCs/>
          <w:color w:val="C0392B"/>
          <w:sz w:val="30"/>
          <w:szCs w:val="30"/>
        </w:rPr>
        <w:t xml:space="preserve">The Minimum Process Every SME Needs in Place</w:t>
      </w:r>
    </w:p>
    <w:p>
      <w:pPr>
        <w:pStyle w:val="Heading3"/>
        <w:spacing w:before="240" w:after="120"/>
      </w:pPr>
      <w:r>
        <w:rPr>
          <w:rFonts w:ascii="Arial" w:cs="Arial" w:eastAsia="Arial" w:hAnsi="Arial"/>
          <w:b/>
          <w:bCs/>
          <w:sz w:val="26"/>
          <w:szCs w:val="26"/>
        </w:rPr>
        <w:t xml:space="preserve">A Compliant Disciplinary and Grievance Policy</w:t>
      </w:r>
    </w:p>
    <w:p>
      <w:pPr>
        <w:spacing w:after="200"/>
      </w:pPr>
      <w:r>
        <w:rPr>
          <w:rFonts w:ascii="Arial" w:cs="Arial" w:eastAsia="Arial" w:hAnsi="Arial"/>
          <w:sz w:val="24"/>
          <w:szCs w:val="24"/>
        </w:rPr>
        <w:t xml:space="preserve">Every employer needs a disciplinary and grievance policy that follows the ACAS Code of Practice on Disciplinary and Grievance Procedures. Non-compliance with the ACAS Code does not make a dismissal automatically unfair, but tribunals can increase compensation awards by up to 25% where an employer has unreasonably failed to follow it.</w:t>
      </w:r>
    </w:p>
    <w:p>
      <w:pPr>
        <w:spacing w:after="200"/>
      </w:pPr>
      <w:r>
        <w:rPr>
          <w:rFonts w:ascii="Arial" w:cs="Arial" w:eastAsia="Arial" w:hAnsi="Arial"/>
          <w:sz w:val="24"/>
          <w:szCs w:val="24"/>
        </w:rPr>
        <w:t xml:space="preserve">The policy should be clearly written, accessible to all employees, and kept up to date. It should set out the stages of the process, what constitutes gross misconduct, and how appeals are handled. If your current policy was written five or more years ago and has not been reviewed, it may reference outdated statutory procedures or lack provisions required by more recent case law.</w:t>
      </w:r>
    </w:p>
    <w:p>
      <w:pPr>
        <w:pStyle w:val="Heading3"/>
        <w:spacing w:before="240" w:after="120"/>
      </w:pPr>
      <w:r>
        <w:rPr>
          <w:rFonts w:ascii="Arial" w:cs="Arial" w:eastAsia="Arial" w:hAnsi="Arial"/>
          <w:b/>
          <w:bCs/>
          <w:sz w:val="26"/>
          <w:szCs w:val="26"/>
        </w:rPr>
        <w:t xml:space="preserve">Investigation Standards</w:t>
      </w:r>
    </w:p>
    <w:p>
      <w:pPr>
        <w:spacing w:after="200"/>
      </w:pPr>
      <w:r>
        <w:rPr>
          <w:rFonts w:ascii="Arial" w:cs="Arial" w:eastAsia="Arial" w:hAnsi="Arial"/>
          <w:sz w:val="24"/>
          <w:szCs w:val="24"/>
        </w:rPr>
        <w:t xml:space="preserve">Before any formal disciplinary action, there should be a reasonable investigation. What counts as reasonable depends on the seriousness of the allegation, but the standard must be consistent. The investigation should be carried out by someone with no prior involvement in the matter, and the findings should be documented in writing before any hearing is convened.</w:t>
      </w:r>
    </w:p>
    <w:p>
      <w:pPr>
        <w:spacing w:after="200"/>
      </w:pPr>
      <w:r>
        <w:rPr>
          <w:rFonts w:ascii="Arial" w:cs="Arial" w:eastAsia="Arial" w:hAnsi="Arial"/>
          <w:sz w:val="24"/>
          <w:szCs w:val="24"/>
        </w:rPr>
        <w:t xml:space="preserve">Skipping or rushing the investigation is one of the most common procedural failures in SME dismissal cases. Tribunals look at whether the employer genuinely believed the employee was guilty of the conduct alleged, had reasonable grounds for that belief, and had carried out as much investigation as was reasonable in the circumstances.</w:t>
      </w:r>
    </w:p>
    <w:p>
      <w:pPr>
        <w:pStyle w:val="Heading3"/>
        <w:spacing w:before="240" w:after="120"/>
      </w:pPr>
      <w:r>
        <w:rPr>
          <w:rFonts w:ascii="Arial" w:cs="Arial" w:eastAsia="Arial" w:hAnsi="Arial"/>
          <w:b/>
          <w:bCs/>
          <w:sz w:val="26"/>
          <w:szCs w:val="26"/>
        </w:rPr>
        <w:t xml:space="preserve">Decision Letters That Hold Up</w:t>
      </w:r>
    </w:p>
    <w:p>
      <w:pPr>
        <w:spacing w:after="200"/>
      </w:pPr>
      <w:r>
        <w:rPr>
          <w:rFonts w:ascii="Arial" w:cs="Arial" w:eastAsia="Arial" w:hAnsi="Arial"/>
          <w:sz w:val="24"/>
          <w:szCs w:val="24"/>
        </w:rPr>
        <w:t xml:space="preserve">Every formal outcome — whether a written warning, a final written warning, or a dismissal — should be confirmed in writing. The letter should state the reason for the decision, the evidence relied on, what is expected going forward (if applicable), and the employee's right to appeal.</w:t>
      </w:r>
    </w:p>
    <w:p>
      <w:pPr>
        <w:spacing w:after="200"/>
      </w:pPr>
      <w:r>
        <w:rPr>
          <w:rFonts w:ascii="Arial" w:cs="Arial" w:eastAsia="Arial" w:hAnsi="Arial"/>
          <w:sz w:val="24"/>
          <w:szCs w:val="24"/>
        </w:rPr>
        <w:t xml:space="preserve">Vague or inconsistent decision letters are a significant liability. If the dismissal letter says one thing and the line manager's witness statement says another at tribunal, your credibility collapses. The written record is your defence.</w:t>
      </w:r>
    </w:p>
    <w:p>
      <w:pPr>
        <w:pStyle w:val="Heading2"/>
        <w:spacing w:before="360" w:after="180"/>
      </w:pPr>
      <w:r>
        <w:rPr>
          <w:rFonts w:ascii="Arial" w:cs="Arial" w:eastAsia="Arial" w:hAnsi="Arial"/>
          <w:b/>
          <w:bCs/>
          <w:color w:val="C0392B"/>
          <w:sz w:val="30"/>
          <w:szCs w:val="30"/>
        </w:rPr>
        <w:t xml:space="preserve">Manager Behaviour Is a Legal Control</w:t>
      </w:r>
    </w:p>
    <w:p>
      <w:pPr>
        <w:spacing w:after="200"/>
      </w:pPr>
      <w:r>
        <w:rPr>
          <w:rFonts w:ascii="Arial" w:cs="Arial" w:eastAsia="Arial" w:hAnsi="Arial"/>
          <w:sz w:val="24"/>
          <w:szCs w:val="24"/>
        </w:rPr>
        <w:t xml:space="preserve">In most SMEs, line managers are making disciplinary decisions without legal training, often under pressure, and sometimes without access to up-to-date guidance. This is where exposure accumulates. A manager who improvises a dismissal, skips the investigation stage, or fails to document a verbal warning creates tribunal risk regardless of how clear the underlying conduct was.</w:t>
      </w:r>
    </w:p>
    <w:p>
      <w:pPr>
        <w:spacing w:after="200"/>
      </w:pPr>
      <w:r>
        <w:rPr>
          <w:rFonts w:ascii="Arial" w:cs="Arial" w:eastAsia="Arial" w:hAnsi="Arial"/>
          <w:sz w:val="24"/>
          <w:szCs w:val="24"/>
        </w:rPr>
        <w:t xml:space="preserve">The practical fix is not to train managers exhaustively — it is to require early escalation. Any situation that might lead to formal disciplinary action should trigger an internal review before the manager takes the next step. This protects the employer and gives managers confidence that they are not acting alone.</w:t>
      </w:r>
    </w:p>
    <w:p>
      <w:pPr>
        <w:spacing w:after="200"/>
      </w:pPr>
      <w:r>
        <w:rPr>
          <w:rFonts w:ascii="Arial" w:cs="Arial" w:eastAsia="Arial" w:hAnsi="Arial"/>
          <w:sz w:val="24"/>
          <w:szCs w:val="24"/>
        </w:rPr>
        <w:t xml:space="preserve">Consistency across the workforce matters too. Tribunals will compare how similar conduct has been treated by different managers or in different teams. If one employee is dismissed for an offence that another received only an informal warning for, that inconsistency is difficult to defend.</w:t>
      </w:r>
    </w:p>
    <w:p>
      <w:pPr>
        <w:pStyle w:val="Heading2"/>
        <w:spacing w:before="360" w:after="180"/>
      </w:pPr>
      <w:r>
        <w:rPr>
          <w:rFonts w:ascii="Arial" w:cs="Arial" w:eastAsia="Arial" w:hAnsi="Arial"/>
          <w:b/>
          <w:bCs/>
          <w:color w:val="C0392B"/>
          <w:sz w:val="30"/>
          <w:szCs w:val="30"/>
        </w:rPr>
        <w:t xml:space="preserve">Frequently Asked Questions</w:t>
      </w:r>
    </w:p>
    <w:p>
      <w:pPr>
        <w:spacing w:after="200"/>
      </w:pPr>
      <w:r>
        <w:rPr>
          <w:rFonts w:ascii="Arial" w:cs="Arial" w:eastAsia="Arial" w:hAnsi="Arial"/>
          <w:b/>
          <w:bCs/>
          <w:sz w:val="24"/>
          <w:szCs w:val="24"/>
        </w:rPr>
        <w:t xml:space="preserve">Does an employee need two years' service to bring an unfair dismissal claim? </w:t>
      </w:r>
      <w:r>
        <w:rPr>
          <w:rFonts w:ascii="Arial" w:cs="Arial" w:eastAsia="Arial" w:hAnsi="Arial"/>
          <w:sz w:val="24"/>
          <w:szCs w:val="24"/>
        </w:rPr>
        <w:t xml:space="preserve">Generally yes, but there are important exceptions. Employees dismissed for automatically unfair reasons — such as whistleblowing, pregnancy, or asserting a statutory right — can bring claims regardless of length of service. Employers should not assume short service provides complete protection.</w:t>
      </w:r>
    </w:p>
    <w:p>
      <w:pPr>
        <w:spacing w:after="200"/>
      </w:pPr>
      <w:r>
        <w:rPr>
          <w:rFonts w:ascii="Arial" w:cs="Arial" w:eastAsia="Arial" w:hAnsi="Arial"/>
          <w:b/>
          <w:bCs/>
          <w:sz w:val="24"/>
          <w:szCs w:val="24"/>
        </w:rPr>
        <w:t xml:space="preserve">What is gross misconduct? </w:t>
      </w:r>
      <w:r>
        <w:rPr>
          <w:rFonts w:ascii="Arial" w:cs="Arial" w:eastAsia="Arial" w:hAnsi="Arial"/>
          <w:sz w:val="24"/>
          <w:szCs w:val="24"/>
        </w:rPr>
        <w:t xml:space="preserve">Gross misconduct is conduct serious enough to justify immediate dismissal without notice. It should be defined in your disciplinary policy. Typical examples include theft, fraud, violence, serious breach of confidentiality, and gross insubordination. Vague or undefined gross misconduct provisions weaken your position if dismissal is challenged.</w:t>
      </w:r>
    </w:p>
    <w:p>
      <w:pPr>
        <w:spacing w:after="200"/>
      </w:pPr>
      <w:r>
        <w:rPr>
          <w:rFonts w:ascii="Arial" w:cs="Arial" w:eastAsia="Arial" w:hAnsi="Arial"/>
          <w:b/>
          <w:bCs/>
          <w:sz w:val="24"/>
          <w:szCs w:val="24"/>
        </w:rPr>
        <w:t xml:space="preserve">Can I dismiss an employee during their probation period? </w:t>
      </w:r>
      <w:r>
        <w:rPr>
          <w:rFonts w:ascii="Arial" w:cs="Arial" w:eastAsia="Arial" w:hAnsi="Arial"/>
          <w:sz w:val="24"/>
          <w:szCs w:val="24"/>
        </w:rPr>
        <w:t xml:space="preserve">Yes, but you should still follow a basic process — including giving the employee an opportunity to respond and a right of appeal. Dismissing without any process during probation is lower risk than dismissing a long-serving employee, but it is not risk-free.</w:t>
      </w:r>
    </w:p>
    <w:p>
      <w:pPr>
        <w:spacing w:after="200"/>
      </w:pPr>
      <w:r>
        <w:rPr>
          <w:rFonts w:ascii="Arial" w:cs="Arial" w:eastAsia="Arial" w:hAnsi="Arial"/>
          <w:b/>
          <w:bCs/>
          <w:sz w:val="24"/>
          <w:szCs w:val="24"/>
        </w:rPr>
        <w:t xml:space="preserve">What happens if I do not offer a right of appeal? </w:t>
      </w:r>
      <w:r>
        <w:rPr>
          <w:rFonts w:ascii="Arial" w:cs="Arial" w:eastAsia="Arial" w:hAnsi="Arial"/>
          <w:sz w:val="24"/>
          <w:szCs w:val="24"/>
        </w:rPr>
        <w:t xml:space="preserve">Failure to offer a right of appeal is a procedural breach under the ACAS Code. A tribunal can uplift the compensation award by up to 25% to reflect this.</w:t>
      </w:r>
    </w:p>
    <w:p>
      <w:pPr>
        <w:pBdr>
          <w:left w:val="single" w:color="C0392B" w:sz="12" w:space="8"/>
        </w:pBdr>
        <w:shd w:fill="FDF0EE" w:val="clear"/>
        <w:spacing w:before="360" w:after="360"/>
      </w:pPr>
      <w:r>
        <w:rPr>
          <w:rFonts w:ascii="Arial" w:cs="Arial" w:eastAsia="Arial" w:hAnsi="Arial"/>
          <w:b/>
          <w:bCs/>
          <w:sz w:val="24"/>
          <w:szCs w:val="24"/>
        </w:rPr>
        <w:t xml:space="preserve">Want to know where your contracts are exposed? </w:t>
      </w:r>
      <w:r>
        <w:rPr>
          <w:rFonts w:ascii="Arial" w:cs="Arial" w:eastAsia="Arial" w:hAnsi="Arial"/>
          <w:sz w:val="24"/>
          <w:szCs w:val="24"/>
        </w:rPr>
        <w:t xml:space="preserve">Book a no-obligation discovery call with Blackwell Advisory. Fixed fee. No retainer required. blackwell-advisory.org/contact</w:t>
      </w:r>
    </w:p>
    <w:p>
      <w:pPr>
        <w:pageBreakBefore/>
      </w:pPr>
    </w:p>
    <w:p>
      <w:pPr>
        <w:pStyle w:val="Heading1"/>
        <w:spacing w:before="480" w:after="240"/>
      </w:pPr>
      <w:r>
        <w:rPr>
          <w:rFonts w:ascii="Arial" w:cs="Arial" w:eastAsia="Arial" w:hAnsi="Arial"/>
          <w:b/>
          <w:bCs/>
          <w:sz w:val="40"/>
          <w:szCs w:val="40"/>
        </w:rPr>
        <w:t xml:space="preserve">POST 3 — HR Compliance for SMEs</w:t>
      </w:r>
    </w:p>
    <w:p>
      <w:pPr>
        <w:spacing w:after="80"/>
      </w:pPr>
      <w:r>
        <w:rPr>
          <w:rFonts w:ascii="Arial" w:cs="Arial" w:eastAsia="Arial" w:hAnsi="Arial"/>
          <w:b/>
          <w:bCs/>
          <w:color w:val="888888"/>
          <w:sz w:val="20"/>
          <w:szCs w:val="20"/>
        </w:rPr>
        <w:t xml:space="preserve">URL slug: </w:t>
      </w:r>
      <w:r>
        <w:rPr>
          <w:rFonts w:ascii="Arial" w:cs="Arial" w:eastAsia="Arial" w:hAnsi="Arial"/>
          <w:color w:val="888888"/>
          <w:sz w:val="20"/>
          <w:szCs w:val="20"/>
        </w:rPr>
        <w:t xml:space="preserve">/blog/hr-compliance-checklist-for-smes-uk</w:t>
      </w:r>
    </w:p>
    <w:p>
      <w:pPr>
        <w:spacing w:after="80"/>
      </w:pPr>
      <w:r>
        <w:rPr>
          <w:rFonts w:ascii="Arial" w:cs="Arial" w:eastAsia="Arial" w:hAnsi="Arial"/>
          <w:b/>
          <w:bCs/>
          <w:color w:val="888888"/>
          <w:sz w:val="20"/>
          <w:szCs w:val="20"/>
        </w:rPr>
        <w:t xml:space="preserve">Title tag: </w:t>
      </w:r>
      <w:r>
        <w:rPr>
          <w:rFonts w:ascii="Arial" w:cs="Arial" w:eastAsia="Arial" w:hAnsi="Arial"/>
          <w:color w:val="888888"/>
          <w:sz w:val="20"/>
          <w:szCs w:val="20"/>
        </w:rPr>
        <w:t xml:space="preserve">HR Compliance Checklist for UK SMEs (2025) | Blackwell Advisory</w:t>
      </w:r>
    </w:p>
    <w:p>
      <w:pPr>
        <w:spacing w:after="80"/>
      </w:pPr>
      <w:r>
        <w:rPr>
          <w:rFonts w:ascii="Arial" w:cs="Arial" w:eastAsia="Arial" w:hAnsi="Arial"/>
          <w:b/>
          <w:bCs/>
          <w:color w:val="888888"/>
          <w:sz w:val="20"/>
          <w:szCs w:val="20"/>
        </w:rPr>
        <w:t xml:space="preserve">Meta description: </w:t>
      </w:r>
      <w:r>
        <w:rPr>
          <w:rFonts w:ascii="Arial" w:cs="Arial" w:eastAsia="Arial" w:hAnsi="Arial"/>
          <w:color w:val="888888"/>
          <w:sz w:val="20"/>
          <w:szCs w:val="20"/>
        </w:rPr>
        <w:t xml:space="preserve">A practical HR compliance baseline for UK SMEs. Covers employment contracts, essential policies, documentation standards, and how to build a maintainable review rhythm.</w:t>
      </w:r>
    </w:p>
    <w:p>
      <w:pPr>
        <w:spacing w:after="80"/>
      </w:pPr>
      <w:r>
        <w:rPr>
          <w:rFonts w:ascii="Arial" w:cs="Arial" w:eastAsia="Arial" w:hAnsi="Arial"/>
          <w:b/>
          <w:bCs/>
          <w:color w:val="888888"/>
          <w:sz w:val="20"/>
          <w:szCs w:val="20"/>
        </w:rPr>
        <w:t xml:space="preserve">Primary keyword: </w:t>
      </w:r>
      <w:r>
        <w:rPr>
          <w:rFonts w:ascii="Arial" w:cs="Arial" w:eastAsia="Arial" w:hAnsi="Arial"/>
          <w:color w:val="888888"/>
          <w:sz w:val="20"/>
          <w:szCs w:val="20"/>
        </w:rPr>
        <w:t xml:space="preserve">HR compliance checklist SME UK</w:t>
      </w:r>
    </w:p>
    <w:p>
      <w:pPr>
        <w:spacing w:after="80"/>
      </w:pPr>
      <w:r>
        <w:rPr>
          <w:rFonts w:ascii="Arial" w:cs="Arial" w:eastAsia="Arial" w:hAnsi="Arial"/>
          <w:b/>
          <w:bCs/>
          <w:color w:val="888888"/>
          <w:sz w:val="20"/>
          <w:szCs w:val="20"/>
        </w:rPr>
        <w:t xml:space="preserve">Secondary keywords: </w:t>
      </w:r>
      <w:r>
        <w:rPr>
          <w:rFonts w:ascii="Arial" w:cs="Arial" w:eastAsia="Arial" w:hAnsi="Arial"/>
          <w:color w:val="888888"/>
          <w:sz w:val="20"/>
          <w:szCs w:val="20"/>
        </w:rPr>
        <w:t xml:space="preserve">employment law compliance small business UK, HR checklist employer UK, SME employment compliance 2025</w:t>
      </w:r>
    </w:p>
    <w:p>
      <w:pPr>
        <w:spacing w:after="80"/>
      </w:pPr>
      <w:r>
        <w:rPr>
          <w:rFonts w:ascii="Arial" w:cs="Arial" w:eastAsia="Arial" w:hAnsi="Arial"/>
          <w:b/>
          <w:bCs/>
          <w:color w:val="888888"/>
          <w:sz w:val="20"/>
          <w:szCs w:val="20"/>
        </w:rPr>
        <w:t xml:space="preserve">Word count target: </w:t>
      </w:r>
      <w:r>
        <w:rPr>
          <w:rFonts w:ascii="Arial" w:cs="Arial" w:eastAsia="Arial" w:hAnsi="Arial"/>
          <w:color w:val="888888"/>
          <w:sz w:val="20"/>
          <w:szCs w:val="20"/>
        </w:rPr>
        <w:t xml:space="preserve">~1,000 words</w:t>
      </w:r>
    </w:p>
    <w:p>
      <w:pPr>
        <w:pBdr>
          <w:bottom w:val="single" w:color="C0392B" w:sz="6" w:space="4"/>
        </w:pBdr>
        <w:spacing w:after="240"/>
      </w:pPr>
    </w:p>
    <w:p>
      <w:pPr>
        <w:pStyle w:val="Heading1"/>
        <w:spacing w:before="360" w:after="240"/>
      </w:pPr>
      <w:r>
        <w:rPr>
          <w:rFonts w:ascii="Arial" w:cs="Arial" w:eastAsia="Arial" w:hAnsi="Arial"/>
          <w:b/>
          <w:bCs/>
          <w:sz w:val="40"/>
          <w:szCs w:val="40"/>
        </w:rPr>
        <w:t xml:space="preserve">HR Compliance Checklist for SMEs in the UK</w:t>
      </w:r>
    </w:p>
    <w:p>
      <w:pPr>
        <w:spacing w:after="200"/>
      </w:pPr>
      <w:r>
        <w:rPr>
          <w:rFonts w:ascii="Arial" w:cs="Arial" w:eastAsia="Arial" w:hAnsi="Arial"/>
          <w:sz w:val="24"/>
          <w:szCs w:val="24"/>
        </w:rPr>
        <w:t xml:space="preserve">HR compliance is not a box-ticking exercise designed for large organisations. For SMEs, it is one of the most practical risk management tools available — and the cost of getting it wrong is disproportionately high when your team is small.</w:t>
      </w:r>
    </w:p>
    <w:p>
      <w:pPr>
        <w:spacing w:after="200"/>
      </w:pPr>
      <w:r>
        <w:rPr>
          <w:rFonts w:ascii="Arial" w:cs="Arial" w:eastAsia="Arial" w:hAnsi="Arial"/>
          <w:sz w:val="24"/>
          <w:szCs w:val="24"/>
        </w:rPr>
        <w:t xml:space="preserve">This checklist sets out the practical minimum that UK SMEs should have in place. It is not exhaustive, and it does not replace specialist employment advice. But it gives you a clear baseline to work from, and a structure for identifying where your current setup is most exposed.</w:t>
      </w:r>
    </w:p>
    <w:p>
      <w:pPr>
        <w:pStyle w:val="Heading2"/>
        <w:spacing w:before="360" w:after="180"/>
      </w:pPr>
      <w:r>
        <w:rPr>
          <w:rFonts w:ascii="Arial" w:cs="Arial" w:eastAsia="Arial" w:hAnsi="Arial"/>
          <w:b/>
          <w:bCs/>
          <w:color w:val="C0392B"/>
          <w:sz w:val="30"/>
          <w:szCs w:val="30"/>
        </w:rPr>
        <w:t xml:space="preserve">1. Employment Contracts and Written Statements</w:t>
      </w:r>
    </w:p>
    <w:p>
      <w:pPr>
        <w:spacing w:after="200"/>
      </w:pPr>
      <w:r>
        <w:rPr>
          <w:rFonts w:ascii="Arial" w:cs="Arial" w:eastAsia="Arial" w:hAnsi="Arial"/>
          <w:sz w:val="24"/>
          <w:szCs w:val="24"/>
        </w:rPr>
        <w:t xml:space="preserve">Every employee must receive a written statement of employment particulars on or before their first day of employment. This is a legal requirement under the Employment Rights Act 1996 as amended, and failure to provide one is itself an automatic finding in any successful tribunal claim.</w:t>
      </w:r>
    </w:p>
    <w:p>
      <w:pPr>
        <w:spacing w:after="200"/>
      </w:pPr>
      <w:r>
        <w:rPr>
          <w:rFonts w:ascii="Arial" w:cs="Arial" w:eastAsia="Arial" w:hAnsi="Arial"/>
          <w:sz w:val="24"/>
          <w:szCs w:val="24"/>
        </w:rPr>
        <w:t xml:space="preserve">But a compliant written statement is not the same as a commercially sound contract. Many SMEs use template contracts that have not been updated in years and do not reflect how the business actually operates. Common gaps include:</w:t>
      </w:r>
    </w:p>
    <w:p>
      <w:pPr>
        <w:pStyle w:val="ListParagraph"/>
        <w:numPr>
          <w:ilvl w:val="0"/>
          <w:numId w:val="2"/>
        </w:numPr>
        <w:spacing w:after="120"/>
      </w:pPr>
      <w:r>
        <w:rPr>
          <w:rFonts w:ascii="Arial" w:cs="Arial" w:eastAsia="Arial" w:hAnsi="Arial"/>
          <w:sz w:val="24"/>
          <w:szCs w:val="24"/>
        </w:rPr>
        <w:t xml:space="preserve">Notice periods that do not reflect current statutory minimums or the seniority of the role</w:t>
      </w:r>
    </w:p>
    <w:p>
      <w:pPr>
        <w:pStyle w:val="ListParagraph"/>
        <w:numPr>
          <w:ilvl w:val="0"/>
          <w:numId w:val="2"/>
        </w:numPr>
        <w:spacing w:after="120"/>
      </w:pPr>
      <w:r>
        <w:rPr>
          <w:rFonts w:ascii="Arial" w:cs="Arial" w:eastAsia="Arial" w:hAnsi="Arial"/>
          <w:sz w:val="24"/>
          <w:szCs w:val="24"/>
        </w:rPr>
        <w:t xml:space="preserve">Missing or unenforceable variation clauses that leave employers unable to make reasonable operational changes</w:t>
      </w:r>
    </w:p>
    <w:p>
      <w:pPr>
        <w:pStyle w:val="ListParagraph"/>
        <w:numPr>
          <w:ilvl w:val="0"/>
          <w:numId w:val="2"/>
        </w:numPr>
        <w:spacing w:after="120"/>
      </w:pPr>
      <w:r>
        <w:rPr>
          <w:rFonts w:ascii="Arial" w:cs="Arial" w:eastAsia="Arial" w:hAnsi="Arial"/>
          <w:sz w:val="24"/>
          <w:szCs w:val="24"/>
        </w:rPr>
        <w:t xml:space="preserve">Restrictive covenants that are too broad to be enforceable or too narrow to provide meaningful protection</w:t>
      </w:r>
    </w:p>
    <w:p>
      <w:pPr>
        <w:pStyle w:val="ListParagraph"/>
        <w:numPr>
          <w:ilvl w:val="0"/>
          <w:numId w:val="2"/>
        </w:numPr>
        <w:spacing w:after="120"/>
      </w:pPr>
      <w:r>
        <w:rPr>
          <w:rFonts w:ascii="Arial" w:cs="Arial" w:eastAsia="Arial" w:hAnsi="Arial"/>
          <w:sz w:val="24"/>
          <w:szCs w:val="24"/>
        </w:rPr>
        <w:t xml:space="preserve">Holiday pay calculations that do not account for variable pay, commission, or overtime — a known area of tribunal risk</w:t>
      </w:r>
    </w:p>
    <w:p>
      <w:pPr>
        <w:pStyle w:val="ListParagraph"/>
        <w:numPr>
          <w:ilvl w:val="0"/>
          <w:numId w:val="2"/>
        </w:numPr>
        <w:spacing w:after="120"/>
      </w:pPr>
      <w:r>
        <w:rPr>
          <w:rFonts w:ascii="Arial" w:cs="Arial" w:eastAsia="Arial" w:hAnsi="Arial"/>
          <w:sz w:val="24"/>
          <w:szCs w:val="24"/>
        </w:rPr>
        <w:t xml:space="preserve">Outdated references to statutory procedures that no longer exist</w:t>
      </w:r>
    </w:p>
    <w:p>
      <w:pPr>
        <w:spacing w:after="200"/>
      </w:pPr>
      <w:r>
        <w:rPr>
          <w:rFonts w:ascii="Arial" w:cs="Arial" w:eastAsia="Arial" w:hAnsi="Arial"/>
          <w:sz w:val="24"/>
          <w:szCs w:val="24"/>
        </w:rPr>
        <w:t xml:space="preserve">A contract audit should not take long. But left unchecked, these gaps accumulate and create material exposure at exactly the moment you can least afford it.</w:t>
      </w:r>
    </w:p>
    <w:p>
      <w:pPr>
        <w:pStyle w:val="Heading2"/>
        <w:spacing w:before="360" w:after="180"/>
      </w:pPr>
      <w:r>
        <w:rPr>
          <w:rFonts w:ascii="Arial" w:cs="Arial" w:eastAsia="Arial" w:hAnsi="Arial"/>
          <w:b/>
          <w:bCs/>
          <w:color w:val="C0392B"/>
          <w:sz w:val="30"/>
          <w:szCs w:val="30"/>
        </w:rPr>
        <w:t xml:space="preserve">2. The Core Policy Stack Every SME Should Have Live</w:t>
      </w:r>
    </w:p>
    <w:p>
      <w:pPr>
        <w:spacing w:after="200"/>
      </w:pPr>
      <w:r>
        <w:rPr>
          <w:rFonts w:ascii="Arial" w:cs="Arial" w:eastAsia="Arial" w:hAnsi="Arial"/>
          <w:sz w:val="24"/>
          <w:szCs w:val="24"/>
        </w:rPr>
        <w:t xml:space="preserve">You do not need a 200-page staff handbook. You do need a coherent set of policies that are accessible to staff, understood by managers, and aligned with your contracts. The following are the minimum that every UK employer should have documented and in use:</w:t>
      </w:r>
    </w:p>
    <w:p>
      <w:pPr>
        <w:pStyle w:val="ListParagraph"/>
        <w:numPr>
          <w:ilvl w:val="0"/>
          <w:numId w:val="2"/>
        </w:numPr>
        <w:spacing w:after="120"/>
      </w:pPr>
      <w:r>
        <w:rPr>
          <w:rFonts w:ascii="Arial" w:cs="Arial" w:eastAsia="Arial" w:hAnsi="Arial"/>
          <w:sz w:val="24"/>
          <w:szCs w:val="24"/>
        </w:rPr>
        <w:t xml:space="preserve">Disciplinary and grievance procedure — aligned with the ACAS Code of Practice</w:t>
      </w:r>
    </w:p>
    <w:p>
      <w:pPr>
        <w:pStyle w:val="ListParagraph"/>
        <w:numPr>
          <w:ilvl w:val="0"/>
          <w:numId w:val="2"/>
        </w:numPr>
        <w:spacing w:after="120"/>
      </w:pPr>
      <w:r>
        <w:rPr>
          <w:rFonts w:ascii="Arial" w:cs="Arial" w:eastAsia="Arial" w:hAnsi="Arial"/>
          <w:sz w:val="24"/>
          <w:szCs w:val="24"/>
        </w:rPr>
        <w:t xml:space="preserve">Absence and sickness management policy — including trigger points and return-to-work process</w:t>
      </w:r>
    </w:p>
    <w:p>
      <w:pPr>
        <w:pStyle w:val="ListParagraph"/>
        <w:numPr>
          <w:ilvl w:val="0"/>
          <w:numId w:val="2"/>
        </w:numPr>
        <w:spacing w:after="120"/>
      </w:pPr>
      <w:r>
        <w:rPr>
          <w:rFonts w:ascii="Arial" w:cs="Arial" w:eastAsia="Arial" w:hAnsi="Arial"/>
          <w:sz w:val="24"/>
          <w:szCs w:val="24"/>
        </w:rPr>
        <w:t xml:space="preserve">Flexible and remote working policy — especially relevant following post-pandemic working pattern changes</w:t>
      </w:r>
    </w:p>
    <w:p>
      <w:pPr>
        <w:pStyle w:val="ListParagraph"/>
        <w:numPr>
          <w:ilvl w:val="0"/>
          <w:numId w:val="2"/>
        </w:numPr>
        <w:spacing w:after="120"/>
      </w:pPr>
      <w:r>
        <w:rPr>
          <w:rFonts w:ascii="Arial" w:cs="Arial" w:eastAsia="Arial" w:hAnsi="Arial"/>
          <w:sz w:val="24"/>
          <w:szCs w:val="24"/>
        </w:rPr>
        <w:t xml:space="preserve">Data protection and confidentiality policy — required under UK GDPR</w:t>
      </w:r>
    </w:p>
    <w:p>
      <w:pPr>
        <w:pStyle w:val="ListParagraph"/>
        <w:numPr>
          <w:ilvl w:val="0"/>
          <w:numId w:val="2"/>
        </w:numPr>
        <w:spacing w:after="120"/>
      </w:pPr>
      <w:r>
        <w:rPr>
          <w:rFonts w:ascii="Arial" w:cs="Arial" w:eastAsia="Arial" w:hAnsi="Arial"/>
          <w:sz w:val="24"/>
          <w:szCs w:val="24"/>
        </w:rPr>
        <w:t xml:space="preserve">Equal opportunities and anti-harassment policy — foundational for any employer</w:t>
      </w:r>
    </w:p>
    <w:p>
      <w:pPr>
        <w:spacing w:after="200"/>
      </w:pPr>
      <w:r>
        <w:rPr>
          <w:rFonts w:ascii="Arial" w:cs="Arial" w:eastAsia="Arial" w:hAnsi="Arial"/>
          <w:sz w:val="24"/>
          <w:szCs w:val="24"/>
        </w:rPr>
        <w:t xml:space="preserve">Each of these should be clearly marked as non-contractual unless you have specifically intended to make them contractual. Ambiguous wording on this point is a recurring issue: employers who accidentally contractualise their handbook give employees enforceable rights to a specific process, which significantly constrains operational flexibility.</w:t>
      </w:r>
    </w:p>
    <w:p>
      <w:pPr>
        <w:pStyle w:val="Heading2"/>
        <w:spacing w:before="360" w:after="180"/>
      </w:pPr>
      <w:r>
        <w:rPr>
          <w:rFonts w:ascii="Arial" w:cs="Arial" w:eastAsia="Arial" w:hAnsi="Arial"/>
          <w:b/>
          <w:bCs/>
          <w:color w:val="C0392B"/>
          <w:sz w:val="30"/>
          <w:szCs w:val="30"/>
        </w:rPr>
        <w:t xml:space="preserve">3. Documentation Standards That Hold Up Under Scrutiny</w:t>
      </w:r>
    </w:p>
    <w:p>
      <w:pPr>
        <w:spacing w:after="200"/>
      </w:pPr>
      <w:r>
        <w:rPr>
          <w:rFonts w:ascii="Arial" w:cs="Arial" w:eastAsia="Arial" w:hAnsi="Arial"/>
          <w:sz w:val="24"/>
          <w:szCs w:val="24"/>
        </w:rPr>
        <w:t xml:space="preserve">Good documentation is not about generating paperwork. It is about being able to demonstrate, at any point, that you managed your people consistently and in good faith. In a tribunal context, contemporaneous records — notes taken at the time, not reconstructed afterwards — carry significantly more weight than documents created after the fact.</w:t>
      </w:r>
    </w:p>
    <w:p>
      <w:pPr>
        <w:spacing w:after="200"/>
      </w:pPr>
      <w:r>
        <w:rPr>
          <w:rFonts w:ascii="Arial" w:cs="Arial" w:eastAsia="Arial" w:hAnsi="Arial"/>
          <w:sz w:val="24"/>
          <w:szCs w:val="24"/>
        </w:rPr>
        <w:t xml:space="preserve">At a minimum, you should be maintaining:</w:t>
      </w:r>
    </w:p>
    <w:p>
      <w:pPr>
        <w:pStyle w:val="ListParagraph"/>
        <w:numPr>
          <w:ilvl w:val="0"/>
          <w:numId w:val="2"/>
        </w:numPr>
        <w:spacing w:after="120"/>
      </w:pPr>
      <w:r>
        <w:rPr>
          <w:rFonts w:ascii="Arial" w:cs="Arial" w:eastAsia="Arial" w:hAnsi="Arial"/>
          <w:sz w:val="24"/>
          <w:szCs w:val="24"/>
        </w:rPr>
        <w:t xml:space="preserve">Signed copies of all current employment contracts</w:t>
      </w:r>
    </w:p>
    <w:p>
      <w:pPr>
        <w:pStyle w:val="ListParagraph"/>
        <w:numPr>
          <w:ilvl w:val="0"/>
          <w:numId w:val="2"/>
        </w:numPr>
        <w:spacing w:after="120"/>
      </w:pPr>
      <w:r>
        <w:rPr>
          <w:rFonts w:ascii="Arial" w:cs="Arial" w:eastAsia="Arial" w:hAnsi="Arial"/>
          <w:sz w:val="24"/>
          <w:szCs w:val="24"/>
        </w:rPr>
        <w:t xml:space="preserve">Records of disciplinary and grievance proceedings, including investigation notes</w:t>
      </w:r>
    </w:p>
    <w:p>
      <w:pPr>
        <w:pStyle w:val="ListParagraph"/>
        <w:numPr>
          <w:ilvl w:val="0"/>
          <w:numId w:val="2"/>
        </w:numPr>
        <w:spacing w:after="120"/>
      </w:pPr>
      <w:r>
        <w:rPr>
          <w:rFonts w:ascii="Arial" w:cs="Arial" w:eastAsia="Arial" w:hAnsi="Arial"/>
          <w:sz w:val="24"/>
          <w:szCs w:val="24"/>
        </w:rPr>
        <w:t xml:space="preserve">Written confirmation of any informal warnings given</w:t>
      </w:r>
    </w:p>
    <w:p>
      <w:pPr>
        <w:pStyle w:val="ListParagraph"/>
        <w:numPr>
          <w:ilvl w:val="0"/>
          <w:numId w:val="2"/>
        </w:numPr>
        <w:spacing w:after="120"/>
      </w:pPr>
      <w:r>
        <w:rPr>
          <w:rFonts w:ascii="Arial" w:cs="Arial" w:eastAsia="Arial" w:hAnsi="Arial"/>
          <w:sz w:val="24"/>
          <w:szCs w:val="24"/>
        </w:rPr>
        <w:t xml:space="preserve">Sickness and absence records</w:t>
      </w:r>
    </w:p>
    <w:p>
      <w:pPr>
        <w:pStyle w:val="ListParagraph"/>
        <w:numPr>
          <w:ilvl w:val="0"/>
          <w:numId w:val="2"/>
        </w:numPr>
        <w:spacing w:after="120"/>
      </w:pPr>
      <w:r>
        <w:rPr>
          <w:rFonts w:ascii="Arial" w:cs="Arial" w:eastAsia="Arial" w:hAnsi="Arial"/>
          <w:sz w:val="24"/>
          <w:szCs w:val="24"/>
        </w:rPr>
        <w:t xml:space="preserve">Documentation of any changes to terms and conditions, including the employee's acknowledgement</w:t>
      </w:r>
    </w:p>
    <w:p>
      <w:pPr>
        <w:spacing w:after="200"/>
      </w:pPr>
      <w:r>
        <w:rPr>
          <w:rFonts w:ascii="Arial" w:cs="Arial" w:eastAsia="Arial" w:hAnsi="Arial"/>
          <w:sz w:val="24"/>
          <w:szCs w:val="24"/>
        </w:rPr>
        <w:t xml:space="preserve">Retention periods matter too. Most employment records should be kept for at least six years. Statutory obligations under UK GDPR require you to hold personal data only for as long as necessary, with a documented retention schedule.</w:t>
      </w:r>
    </w:p>
    <w:p>
      <w:pPr>
        <w:pStyle w:val="Heading2"/>
        <w:spacing w:before="360" w:after="180"/>
      </w:pPr>
      <w:r>
        <w:rPr>
          <w:rFonts w:ascii="Arial" w:cs="Arial" w:eastAsia="Arial" w:hAnsi="Arial"/>
          <w:b/>
          <w:bCs/>
          <w:color w:val="C0392B"/>
          <w:sz w:val="30"/>
          <w:szCs w:val="30"/>
        </w:rPr>
        <w:t xml:space="preserve">4. Building a Governance Rhythm That Is Actually Sustainable</w:t>
      </w:r>
    </w:p>
    <w:p>
      <w:pPr>
        <w:spacing w:after="200"/>
      </w:pPr>
      <w:r>
        <w:rPr>
          <w:rFonts w:ascii="Arial" w:cs="Arial" w:eastAsia="Arial" w:hAnsi="Arial"/>
          <w:sz w:val="24"/>
          <w:szCs w:val="24"/>
        </w:rPr>
        <w:t xml:space="preserve">The most common failure mode for SME HR compliance is not ignorance of the requirements — it is the absence of a regular review cycle. Contracts and policies that were accurate when written become outdated as employment law changes, as the business grows, and as working practices evolve.</w:t>
      </w:r>
    </w:p>
    <w:p>
      <w:pPr>
        <w:spacing w:after="200"/>
      </w:pPr>
      <w:r>
        <w:rPr>
          <w:rFonts w:ascii="Arial" w:cs="Arial" w:eastAsia="Arial" w:hAnsi="Arial"/>
          <w:sz w:val="24"/>
          <w:szCs w:val="24"/>
        </w:rPr>
        <w:t xml:space="preserve">A realistic governance rhythm for most SMEs looks like this: a full contract and policy review annually, triggered by any significant legislative change; a lighter quarterly check on documentation currency and any issues raised by managers; and an immediate review whenever a dispute, grievance, or dismissal event occurs.</w:t>
      </w:r>
    </w:p>
    <w:p>
      <w:pPr>
        <w:spacing w:after="200"/>
      </w:pPr>
      <w:r>
        <w:rPr>
          <w:rFonts w:ascii="Arial" w:cs="Arial" w:eastAsia="Arial" w:hAnsi="Arial"/>
          <w:sz w:val="24"/>
          <w:szCs w:val="24"/>
        </w:rPr>
        <w:t xml:space="preserve">This does not require an in-house HR function. Many SMEs with fewer than 50 employees manage this with periodic specialist advisory review — bringing in external support for the annual audit and escalating specific situations as they arise. The key is that the rhythm is planned, not reactive.</w:t>
      </w:r>
    </w:p>
    <w:p>
      <w:pPr>
        <w:pStyle w:val="Heading2"/>
        <w:spacing w:before="360" w:after="180"/>
      </w:pPr>
      <w:r>
        <w:rPr>
          <w:rFonts w:ascii="Arial" w:cs="Arial" w:eastAsia="Arial" w:hAnsi="Arial"/>
          <w:b/>
          <w:bCs/>
          <w:color w:val="C0392B"/>
          <w:sz w:val="30"/>
          <w:szCs w:val="30"/>
        </w:rPr>
        <w:t xml:space="preserve">Frequently Asked Questions</w:t>
      </w:r>
    </w:p>
    <w:p>
      <w:pPr>
        <w:spacing w:after="200"/>
      </w:pPr>
      <w:r>
        <w:rPr>
          <w:rFonts w:ascii="Arial" w:cs="Arial" w:eastAsia="Arial" w:hAnsi="Arial"/>
          <w:b/>
          <w:bCs/>
          <w:sz w:val="24"/>
          <w:szCs w:val="24"/>
        </w:rPr>
        <w:t xml:space="preserve">Do SMEs need a full HR team to stay compliant? </w:t>
      </w:r>
      <w:r>
        <w:rPr>
          <w:rFonts w:ascii="Arial" w:cs="Arial" w:eastAsia="Arial" w:hAnsi="Arial"/>
          <w:sz w:val="24"/>
          <w:szCs w:val="24"/>
        </w:rPr>
        <w:t xml:space="preserve">No. Many SMEs operate well within their compliance obligations with lean teams and periodic specialist support. The priority is having the right foundations — contracts, core policies, documentation standards — not headcount.</w:t>
      </w:r>
    </w:p>
    <w:p>
      <w:pPr>
        <w:spacing w:after="200"/>
      </w:pPr>
      <w:r>
        <w:rPr>
          <w:rFonts w:ascii="Arial" w:cs="Arial" w:eastAsia="Arial" w:hAnsi="Arial"/>
          <w:b/>
          <w:bCs/>
          <w:sz w:val="24"/>
          <w:szCs w:val="24"/>
        </w:rPr>
        <w:t xml:space="preserve">What changed for employers under the Employment Rights Act 2025? </w:t>
      </w:r>
      <w:r>
        <w:rPr>
          <w:rFonts w:ascii="Arial" w:cs="Arial" w:eastAsia="Arial" w:hAnsi="Arial"/>
          <w:sz w:val="24"/>
          <w:szCs w:val="24"/>
        </w:rPr>
        <w:t xml:space="preserve">The Employment Rights Act 2025 introduced several significant changes including new rights around unfair dismissal from day one of employment (subject to a statutory probationary period), strengthened trade union rights, and changes to flexible working and zero-hours arrangements. SMEs should review their contracts and policies to ensure they reflect the updated statutory position.</w:t>
      </w:r>
    </w:p>
    <w:p>
      <w:pPr>
        <w:spacing w:after="200"/>
      </w:pPr>
      <w:r>
        <w:rPr>
          <w:rFonts w:ascii="Arial" w:cs="Arial" w:eastAsia="Arial" w:hAnsi="Arial"/>
          <w:b/>
          <w:bCs/>
          <w:sz w:val="24"/>
          <w:szCs w:val="24"/>
        </w:rPr>
        <w:t xml:space="preserve">Can I use a template employment contract? </w:t>
      </w:r>
      <w:r>
        <w:rPr>
          <w:rFonts w:ascii="Arial" w:cs="Arial" w:eastAsia="Arial" w:hAnsi="Arial"/>
          <w:sz w:val="24"/>
          <w:szCs w:val="24"/>
        </w:rPr>
        <w:t xml:space="preserve">You can use a template as a starting point, but it needs to be adapted to reflect your business. Generic templates rarely include the specific clauses needed for your sector, working patterns, or contractual structure — and outdated templates may reference procedures that no longer exist.</w:t>
      </w:r>
    </w:p>
    <w:p>
      <w:pPr>
        <w:spacing w:after="200"/>
      </w:pPr>
      <w:r>
        <w:rPr>
          <w:rFonts w:ascii="Arial" w:cs="Arial" w:eastAsia="Arial" w:hAnsi="Arial"/>
          <w:b/>
          <w:bCs/>
          <w:sz w:val="24"/>
          <w:szCs w:val="24"/>
        </w:rPr>
        <w:t xml:space="preserve">What is the risk of not having a written grievance procedure? </w:t>
      </w:r>
      <w:r>
        <w:rPr>
          <w:rFonts w:ascii="Arial" w:cs="Arial" w:eastAsia="Arial" w:hAnsi="Arial"/>
          <w:sz w:val="24"/>
          <w:szCs w:val="24"/>
        </w:rPr>
        <w:t xml:space="preserve">In any successful tribunal claim, failure to follow the ACAS Code — including having no documented grievance procedure — can result in a compensation uplift of up to 25%. It also removes your ability to demonstrate that you took the employee's concerns seriously.</w:t>
      </w:r>
    </w:p>
    <w:p>
      <w:pPr>
        <w:pBdr>
          <w:left w:val="single" w:color="C0392B" w:sz="12" w:space="8"/>
        </w:pBdr>
        <w:shd w:fill="FDF0EE" w:val="clear"/>
        <w:spacing w:before="360" w:after="360"/>
      </w:pPr>
      <w:r>
        <w:rPr>
          <w:rFonts w:ascii="Arial" w:cs="Arial" w:eastAsia="Arial" w:hAnsi="Arial"/>
          <w:b/>
          <w:bCs/>
          <w:sz w:val="24"/>
          <w:szCs w:val="24"/>
        </w:rPr>
        <w:t xml:space="preserve">Want to know where your contracts are exposed? </w:t>
      </w:r>
      <w:r>
        <w:rPr>
          <w:rFonts w:ascii="Arial" w:cs="Arial" w:eastAsia="Arial" w:hAnsi="Arial"/>
          <w:sz w:val="24"/>
          <w:szCs w:val="24"/>
        </w:rPr>
        <w:t xml:space="preserve">Book a no-obligation discovery call with Blackwell Advisory. Fixed fee. No retainer required. blackwell-advisory.org/contact</w:t>
      </w:r>
    </w:p>
    <w:p>
      <w:pPr>
        <w:pageBreakBefore/>
      </w:pPr>
    </w:p>
    <w:p>
      <w:pPr>
        <w:pStyle w:val="Heading1"/>
        <w:spacing w:before="480" w:after="240"/>
      </w:pPr>
      <w:r>
        <w:rPr>
          <w:rFonts w:ascii="Arial" w:cs="Arial" w:eastAsia="Arial" w:hAnsi="Arial"/>
          <w:b/>
          <w:bCs/>
          <w:sz w:val="40"/>
          <w:szCs w:val="40"/>
        </w:rPr>
        <w:t xml:space="preserve">POST 4 — Workplace Disputes</w:t>
      </w:r>
    </w:p>
    <w:p>
      <w:pPr>
        <w:spacing w:after="80"/>
      </w:pPr>
      <w:r>
        <w:rPr>
          <w:rFonts w:ascii="Arial" w:cs="Arial" w:eastAsia="Arial" w:hAnsi="Arial"/>
          <w:b/>
          <w:bCs/>
          <w:color w:val="888888"/>
          <w:sz w:val="20"/>
          <w:szCs w:val="20"/>
        </w:rPr>
        <w:t xml:space="preserve">URL slug: </w:t>
      </w:r>
      <w:r>
        <w:rPr>
          <w:rFonts w:ascii="Arial" w:cs="Arial" w:eastAsia="Arial" w:hAnsi="Arial"/>
          <w:color w:val="888888"/>
          <w:sz w:val="20"/>
          <w:szCs w:val="20"/>
        </w:rPr>
        <w:t xml:space="preserve">/blog/documents-employers-need-to-reduce-tribunal-risk</w:t>
      </w:r>
    </w:p>
    <w:p>
      <w:pPr>
        <w:spacing w:after="80"/>
      </w:pPr>
      <w:r>
        <w:rPr>
          <w:rFonts w:ascii="Arial" w:cs="Arial" w:eastAsia="Arial" w:hAnsi="Arial"/>
          <w:b/>
          <w:bCs/>
          <w:color w:val="888888"/>
          <w:sz w:val="20"/>
          <w:szCs w:val="20"/>
        </w:rPr>
        <w:t xml:space="preserve">Title tag: </w:t>
      </w:r>
      <w:r>
        <w:rPr>
          <w:rFonts w:ascii="Arial" w:cs="Arial" w:eastAsia="Arial" w:hAnsi="Arial"/>
          <w:color w:val="888888"/>
          <w:sz w:val="20"/>
          <w:szCs w:val="20"/>
        </w:rPr>
        <w:t xml:space="preserve">What Documents Employers Need to Reduce Tribunal Risk | Blackwell Advisory</w:t>
      </w:r>
    </w:p>
    <w:p>
      <w:pPr>
        <w:spacing w:after="80"/>
      </w:pPr>
      <w:r>
        <w:rPr>
          <w:rFonts w:ascii="Arial" w:cs="Arial" w:eastAsia="Arial" w:hAnsi="Arial"/>
          <w:b/>
          <w:bCs/>
          <w:color w:val="888888"/>
          <w:sz w:val="20"/>
          <w:szCs w:val="20"/>
        </w:rPr>
        <w:t xml:space="preserve">Meta description: </w:t>
      </w:r>
      <w:r>
        <w:rPr>
          <w:rFonts w:ascii="Arial" w:cs="Arial" w:eastAsia="Arial" w:hAnsi="Arial"/>
          <w:color w:val="888888"/>
          <w:sz w:val="20"/>
          <w:szCs w:val="20"/>
        </w:rPr>
        <w:t xml:space="preserve">Employment tribunal risk is reduced by having the right documents in the right condition. Here is the core document pack every UK employer should maintain — and what makes each one defensible.</w:t>
      </w:r>
    </w:p>
    <w:p>
      <w:pPr>
        <w:spacing w:after="80"/>
      </w:pPr>
      <w:r>
        <w:rPr>
          <w:rFonts w:ascii="Arial" w:cs="Arial" w:eastAsia="Arial" w:hAnsi="Arial"/>
          <w:b/>
          <w:bCs/>
          <w:color w:val="888888"/>
          <w:sz w:val="20"/>
          <w:szCs w:val="20"/>
        </w:rPr>
        <w:t xml:space="preserve">Primary keyword: </w:t>
      </w:r>
      <w:r>
        <w:rPr>
          <w:rFonts w:ascii="Arial" w:cs="Arial" w:eastAsia="Arial" w:hAnsi="Arial"/>
          <w:color w:val="888888"/>
          <w:sz w:val="20"/>
          <w:szCs w:val="20"/>
        </w:rPr>
        <w:t xml:space="preserve">documents employers need tribunal risk UK</w:t>
      </w:r>
    </w:p>
    <w:p>
      <w:pPr>
        <w:spacing w:after="80"/>
      </w:pPr>
      <w:r>
        <w:rPr>
          <w:rFonts w:ascii="Arial" w:cs="Arial" w:eastAsia="Arial" w:hAnsi="Arial"/>
          <w:b/>
          <w:bCs/>
          <w:color w:val="888888"/>
          <w:sz w:val="20"/>
          <w:szCs w:val="20"/>
        </w:rPr>
        <w:t xml:space="preserve">Secondary keywords: </w:t>
      </w:r>
      <w:r>
        <w:rPr>
          <w:rFonts w:ascii="Arial" w:cs="Arial" w:eastAsia="Arial" w:hAnsi="Arial"/>
          <w:color w:val="888888"/>
          <w:sz w:val="20"/>
          <w:szCs w:val="20"/>
        </w:rPr>
        <w:t xml:space="preserve">employment tribunal documentation, employer document checklist UK, reduce tribunal risk SME, employment records employer</w:t>
      </w:r>
    </w:p>
    <w:p>
      <w:pPr>
        <w:spacing w:after="80"/>
      </w:pPr>
      <w:r>
        <w:rPr>
          <w:rFonts w:ascii="Arial" w:cs="Arial" w:eastAsia="Arial" w:hAnsi="Arial"/>
          <w:b/>
          <w:bCs/>
          <w:color w:val="888888"/>
          <w:sz w:val="20"/>
          <w:szCs w:val="20"/>
        </w:rPr>
        <w:t xml:space="preserve">Word count target: </w:t>
      </w:r>
      <w:r>
        <w:rPr>
          <w:rFonts w:ascii="Arial" w:cs="Arial" w:eastAsia="Arial" w:hAnsi="Arial"/>
          <w:color w:val="888888"/>
          <w:sz w:val="20"/>
          <w:szCs w:val="20"/>
        </w:rPr>
        <w:t xml:space="preserve">~950 words</w:t>
      </w:r>
    </w:p>
    <w:p>
      <w:pPr>
        <w:pBdr>
          <w:bottom w:val="single" w:color="C0392B" w:sz="6" w:space="4"/>
        </w:pBdr>
        <w:spacing w:after="240"/>
      </w:pPr>
    </w:p>
    <w:p>
      <w:pPr>
        <w:pStyle w:val="Heading1"/>
        <w:spacing w:before="360" w:after="240"/>
      </w:pPr>
      <w:r>
        <w:rPr>
          <w:rFonts w:ascii="Arial" w:cs="Arial" w:eastAsia="Arial" w:hAnsi="Arial"/>
          <w:b/>
          <w:bCs/>
          <w:sz w:val="40"/>
          <w:szCs w:val="40"/>
        </w:rPr>
        <w:t xml:space="preserve">What Documents Employers Need to Reduce Tribunal Risk</w:t>
      </w:r>
    </w:p>
    <w:p>
      <w:pPr>
        <w:spacing w:after="200"/>
      </w:pPr>
      <w:r>
        <w:rPr>
          <w:rFonts w:ascii="Arial" w:cs="Arial" w:eastAsia="Arial" w:hAnsi="Arial"/>
          <w:sz w:val="24"/>
          <w:szCs w:val="24"/>
        </w:rPr>
        <w:t xml:space="preserve">When an employment tribunal claim is lodged, one of the first things that happens is disclosure — both parties are required to share documents relevant to the claim. For the employer, this is often the moment when documentation gaps become impossible to ignore.</w:t>
      </w:r>
    </w:p>
    <w:p>
      <w:pPr>
        <w:spacing w:after="200"/>
      </w:pPr>
      <w:r>
        <w:rPr>
          <w:rFonts w:ascii="Arial" w:cs="Arial" w:eastAsia="Arial" w:hAnsi="Arial"/>
          <w:sz w:val="24"/>
          <w:szCs w:val="24"/>
        </w:rPr>
        <w:t xml:space="preserve">The good news is that the documents you need are not complicated or numerous. The bad news is that many SMEs either do not have them, have them in an outdated form, or have them but with internal inconsistencies that undermine their value as evidence.</w:t>
      </w:r>
    </w:p>
    <w:p>
      <w:pPr>
        <w:spacing w:after="200"/>
      </w:pPr>
      <w:r>
        <w:rPr>
          <w:rFonts w:ascii="Arial" w:cs="Arial" w:eastAsia="Arial" w:hAnsi="Arial"/>
          <w:sz w:val="24"/>
          <w:szCs w:val="24"/>
        </w:rPr>
        <w:t xml:space="preserve">This article sets out the core document pack every employer should maintain, what makes each document actually defensible, and how to implement a practical ownership model without creating unnecessary process overhead.</w:t>
      </w:r>
    </w:p>
    <w:p>
      <w:pPr>
        <w:pStyle w:val="Heading2"/>
        <w:spacing w:before="360" w:after="180"/>
      </w:pPr>
      <w:r>
        <w:rPr>
          <w:rFonts w:ascii="Arial" w:cs="Arial" w:eastAsia="Arial" w:hAnsi="Arial"/>
          <w:b/>
          <w:bCs/>
          <w:color w:val="C0392B"/>
          <w:sz w:val="30"/>
          <w:szCs w:val="30"/>
        </w:rPr>
        <w:t xml:space="preserve">The Core Document Pack</w:t>
      </w:r>
    </w:p>
    <w:p>
      <w:pPr>
        <w:pStyle w:val="Heading3"/>
        <w:spacing w:before="240" w:after="120"/>
      </w:pPr>
      <w:r>
        <w:rPr>
          <w:rFonts w:ascii="Arial" w:cs="Arial" w:eastAsia="Arial" w:hAnsi="Arial"/>
          <w:b/>
          <w:bCs/>
          <w:sz w:val="26"/>
          <w:szCs w:val="26"/>
        </w:rPr>
        <w:t xml:space="preserve">Signed, Current Employment Contracts</w:t>
      </w:r>
    </w:p>
    <w:p>
      <w:pPr>
        <w:spacing w:after="200"/>
      </w:pPr>
      <w:r>
        <w:rPr>
          <w:rFonts w:ascii="Arial" w:cs="Arial" w:eastAsia="Arial" w:hAnsi="Arial"/>
          <w:sz w:val="24"/>
          <w:szCs w:val="24"/>
        </w:rPr>
        <w:t xml:space="preserve">This is the foundation. Every employee should have a signed written contract that reflects their current role, pay, working hours, and terms. Unsigned contracts or contracts that predate significant changes to the employee's role are a liability — they create uncertainty about what the agreed terms actually were.</w:t>
      </w:r>
    </w:p>
    <w:p>
      <w:pPr>
        <w:spacing w:after="200"/>
      </w:pPr>
      <w:r>
        <w:rPr>
          <w:rFonts w:ascii="Arial" w:cs="Arial" w:eastAsia="Arial" w:hAnsi="Arial"/>
          <w:sz w:val="24"/>
          <w:szCs w:val="24"/>
        </w:rPr>
        <w:t xml:space="preserve">Pay particular attention to: notice period wording, holiday entitlement and pay calculation method, any variation or flexibility clauses, and post-termination restrictions. These are the provisions that are most often challenged and most often inadequately drafted in SME contracts.</w:t>
      </w:r>
    </w:p>
    <w:p>
      <w:pPr>
        <w:pStyle w:val="Heading3"/>
        <w:spacing w:before="240" w:after="120"/>
      </w:pPr>
      <w:r>
        <w:rPr>
          <w:rFonts w:ascii="Arial" w:cs="Arial" w:eastAsia="Arial" w:hAnsi="Arial"/>
          <w:b/>
          <w:bCs/>
          <w:sz w:val="26"/>
          <w:szCs w:val="26"/>
        </w:rPr>
        <w:t xml:space="preserve">Disciplinary and Grievance Policy</w:t>
      </w:r>
    </w:p>
    <w:p>
      <w:pPr>
        <w:spacing w:after="200"/>
      </w:pPr>
      <w:r>
        <w:rPr>
          <w:rFonts w:ascii="Arial" w:cs="Arial" w:eastAsia="Arial" w:hAnsi="Arial"/>
          <w:sz w:val="24"/>
          <w:szCs w:val="24"/>
        </w:rPr>
        <w:t xml:space="preserve">This should be a standalone, clearly dated document that sets out the stages of your disciplinary process, what constitutes gross misconduct, how grievances are raised and investigated, and how appeals are handled. It must align with the ACAS Code of Practice.</w:t>
      </w:r>
    </w:p>
    <w:p>
      <w:pPr>
        <w:spacing w:after="200"/>
      </w:pPr>
      <w:r>
        <w:rPr>
          <w:rFonts w:ascii="Arial" w:cs="Arial" w:eastAsia="Arial" w:hAnsi="Arial"/>
          <w:sz w:val="24"/>
          <w:szCs w:val="24"/>
        </w:rPr>
        <w:t xml:space="preserve">The policy should explicitly state whether it is contractual or non-contractual. If it is silent on this, a court may treat it as contractual — which constrains your ability to deviate from it, even in situations where doing so would be sensible.</w:t>
      </w:r>
    </w:p>
    <w:p>
      <w:pPr>
        <w:pStyle w:val="Heading3"/>
        <w:spacing w:before="240" w:after="120"/>
      </w:pPr>
      <w:r>
        <w:rPr>
          <w:rFonts w:ascii="Arial" w:cs="Arial" w:eastAsia="Arial" w:hAnsi="Arial"/>
          <w:b/>
          <w:bCs/>
          <w:sz w:val="26"/>
          <w:szCs w:val="26"/>
        </w:rPr>
        <w:t xml:space="preserve">Investigation Records</w:t>
      </w:r>
    </w:p>
    <w:p>
      <w:pPr>
        <w:spacing w:after="200"/>
      </w:pPr>
      <w:r>
        <w:rPr>
          <w:rFonts w:ascii="Arial" w:cs="Arial" w:eastAsia="Arial" w:hAnsi="Arial"/>
          <w:sz w:val="24"/>
          <w:szCs w:val="24"/>
        </w:rPr>
        <w:t xml:space="preserve">For any disciplinary matter that reaches a formal stage, you need contemporaneous records of the investigation: who was interviewed, what was asked, what was said, and what documents were reviewed. These notes do not need to be lengthy, but they must exist and must have been created at the time.</w:t>
      </w:r>
    </w:p>
    <w:p>
      <w:pPr>
        <w:spacing w:after="200"/>
      </w:pPr>
      <w:r>
        <w:rPr>
          <w:rFonts w:ascii="Arial" w:cs="Arial" w:eastAsia="Arial" w:hAnsi="Arial"/>
          <w:sz w:val="24"/>
          <w:szCs w:val="24"/>
        </w:rPr>
        <w:t xml:space="preserve">If you cannot show that you investigated reasonably before taking action, a tribunal will be sceptical of your process regardless of how clear the underlying conduct was.</w:t>
      </w:r>
    </w:p>
    <w:p>
      <w:pPr>
        <w:pStyle w:val="Heading3"/>
        <w:spacing w:before="240" w:after="120"/>
      </w:pPr>
      <w:r>
        <w:rPr>
          <w:rFonts w:ascii="Arial" w:cs="Arial" w:eastAsia="Arial" w:hAnsi="Arial"/>
          <w:b/>
          <w:bCs/>
          <w:sz w:val="26"/>
          <w:szCs w:val="26"/>
        </w:rPr>
        <w:t xml:space="preserve">Formal Hearing and Decision Records</w:t>
      </w:r>
    </w:p>
    <w:p>
      <w:pPr>
        <w:spacing w:after="200"/>
      </w:pPr>
      <w:r>
        <w:rPr>
          <w:rFonts w:ascii="Arial" w:cs="Arial" w:eastAsia="Arial" w:hAnsi="Arial"/>
          <w:sz w:val="24"/>
          <w:szCs w:val="24"/>
        </w:rPr>
        <w:t xml:space="preserve">Every formal disciplinary hearing should be documented — including who attended, what was discussed, what representations the employee made, and the basis for the decision reached. Decision letters should be sent in writing and should state the reason for the outcome, any expectations going forward, and the right to appeal.</w:t>
      </w:r>
    </w:p>
    <w:p>
      <w:pPr>
        <w:spacing w:after="200"/>
      </w:pPr>
      <w:r>
        <w:rPr>
          <w:rFonts w:ascii="Arial" w:cs="Arial" w:eastAsia="Arial" w:hAnsi="Arial"/>
          <w:sz w:val="24"/>
          <w:szCs w:val="24"/>
        </w:rPr>
        <w:t xml:space="preserve">The discipline of writing things down in real time rather than reconstructing them later is significant. Post-event summaries are treated with suspicion by tribunals and experienced claimant solicitors.</w:t>
      </w:r>
    </w:p>
    <w:p>
      <w:pPr>
        <w:pStyle w:val="Heading3"/>
        <w:spacing w:before="240" w:after="120"/>
      </w:pPr>
      <w:r>
        <w:rPr>
          <w:rFonts w:ascii="Arial" w:cs="Arial" w:eastAsia="Arial" w:hAnsi="Arial"/>
          <w:b/>
          <w:bCs/>
          <w:sz w:val="26"/>
          <w:szCs w:val="26"/>
        </w:rPr>
        <w:t xml:space="preserve">Appeal Outcomes</w:t>
      </w:r>
    </w:p>
    <w:p>
      <w:pPr>
        <w:spacing w:after="200"/>
      </w:pPr>
      <w:r>
        <w:rPr>
          <w:rFonts w:ascii="Arial" w:cs="Arial" w:eastAsia="Arial" w:hAnsi="Arial"/>
          <w:sz w:val="24"/>
          <w:szCs w:val="24"/>
        </w:rPr>
        <w:t xml:space="preserve">Every formal disciplinary outcome — including dismissal — should be subject to a right of appeal. The appeal must be heard by someone not previously involved in the case. The outcome should be confirmed in writing.</w:t>
      </w:r>
    </w:p>
    <w:p>
      <w:pPr>
        <w:spacing w:after="200"/>
      </w:pPr>
      <w:r>
        <w:rPr>
          <w:rFonts w:ascii="Arial" w:cs="Arial" w:eastAsia="Arial" w:hAnsi="Arial"/>
          <w:sz w:val="24"/>
          <w:szCs w:val="24"/>
        </w:rPr>
        <w:t xml:space="preserve">Failure to offer or conduct a proper appeal is a procedural breach that can increase a tribunal award by up to 25% under the ACAS Code.</w:t>
      </w:r>
    </w:p>
    <w:p>
      <w:pPr>
        <w:pStyle w:val="Heading3"/>
        <w:spacing w:before="240" w:after="120"/>
      </w:pPr>
      <w:r>
        <w:rPr>
          <w:rFonts w:ascii="Arial" w:cs="Arial" w:eastAsia="Arial" w:hAnsi="Arial"/>
          <w:b/>
          <w:bCs/>
          <w:sz w:val="26"/>
          <w:szCs w:val="26"/>
        </w:rPr>
        <w:t xml:space="preserve">Sickness and Absence Records</w:t>
      </w:r>
    </w:p>
    <w:p>
      <w:pPr>
        <w:spacing w:after="200"/>
      </w:pPr>
      <w:r>
        <w:rPr>
          <w:rFonts w:ascii="Arial" w:cs="Arial" w:eastAsia="Arial" w:hAnsi="Arial"/>
          <w:sz w:val="24"/>
          <w:szCs w:val="24"/>
        </w:rPr>
        <w:t xml:space="preserve">Accurate, consistently maintained absence records are essential for managing capability and attendance, and for defending any claim that links dismissal to sickness or a disability. They should record dates, reasons given, return-to-work conversations, and any occupational health referrals made.</w:t>
      </w:r>
    </w:p>
    <w:p>
      <w:pPr>
        <w:pStyle w:val="Heading2"/>
        <w:spacing w:before="360" w:after="180"/>
      </w:pPr>
      <w:r>
        <w:rPr>
          <w:rFonts w:ascii="Arial" w:cs="Arial" w:eastAsia="Arial" w:hAnsi="Arial"/>
          <w:b/>
          <w:bCs/>
          <w:color w:val="C0392B"/>
          <w:sz w:val="30"/>
          <w:szCs w:val="30"/>
        </w:rPr>
        <w:t xml:space="preserve">Document Quality: What Makes a Document Actually Defensible</w:t>
      </w:r>
    </w:p>
    <w:p>
      <w:pPr>
        <w:spacing w:after="200"/>
      </w:pPr>
      <w:r>
        <w:rPr>
          <w:rFonts w:ascii="Arial" w:cs="Arial" w:eastAsia="Arial" w:hAnsi="Arial"/>
          <w:sz w:val="24"/>
          <w:szCs w:val="24"/>
        </w:rPr>
        <w:t xml:space="preserve">Having the document is not enough. A document is only useful in a tribunal context if it is current, consistently applied, and internally coherent. An employment contract that references a disciplinary procedure that no longer exists, or a disciplinary letter that uses different terminology from the policy, immediately raises questions about process reliability.</w:t>
      </w:r>
    </w:p>
    <w:p>
      <w:pPr>
        <w:spacing w:after="200"/>
      </w:pPr>
      <w:r>
        <w:rPr>
          <w:rFonts w:ascii="Arial" w:cs="Arial" w:eastAsia="Arial" w:hAnsi="Arial"/>
          <w:sz w:val="24"/>
          <w:szCs w:val="24"/>
        </w:rPr>
        <w:t xml:space="preserve">Version control matters. Documents should be dated, and there should be a clear record of when they were last reviewed and by whom. Outdated templates — particularly those downloaded from generic sources — often contain references to statutory procedures, redundancy rules, or notice requirements that have since changed.</w:t>
      </w:r>
    </w:p>
    <w:p>
      <w:pPr>
        <w:spacing w:after="200"/>
      </w:pPr>
      <w:r>
        <w:rPr>
          <w:rFonts w:ascii="Arial" w:cs="Arial" w:eastAsia="Arial" w:hAnsi="Arial"/>
          <w:sz w:val="24"/>
          <w:szCs w:val="24"/>
        </w:rPr>
        <w:t xml:space="preserve">Consistency across the workforce matters equally. If your documentation shows that the same conduct was handled differently for different employees without clear justification, that inconsistency is used to argue arbitrary or discriminatory treatment.</w:t>
      </w:r>
    </w:p>
    <w:p>
      <w:pPr>
        <w:pStyle w:val="Heading2"/>
        <w:spacing w:before="360" w:after="180"/>
      </w:pPr>
      <w:r>
        <w:rPr>
          <w:rFonts w:ascii="Arial" w:cs="Arial" w:eastAsia="Arial" w:hAnsi="Arial"/>
          <w:b/>
          <w:bCs/>
          <w:color w:val="C0392B"/>
          <w:sz w:val="30"/>
          <w:szCs w:val="30"/>
        </w:rPr>
        <w:t xml:space="preserve">A Practical Ownership Model</w:t>
      </w:r>
    </w:p>
    <w:p>
      <w:pPr>
        <w:spacing w:after="200"/>
      </w:pPr>
      <w:r>
        <w:rPr>
          <w:rFonts w:ascii="Arial" w:cs="Arial" w:eastAsia="Arial" w:hAnsi="Arial"/>
          <w:sz w:val="24"/>
          <w:szCs w:val="24"/>
        </w:rPr>
        <w:t xml:space="preserve">The simplest sustainable model for an SME is a single named internal owner for employment documentation — typically the MD, Operations Director, or senior HR contact — with a clear annual review cadence and a protocol for escalating live situations to external specialist support before action is taken.</w:t>
      </w:r>
    </w:p>
    <w:p>
      <w:pPr>
        <w:spacing w:after="200"/>
      </w:pPr>
      <w:r>
        <w:rPr>
          <w:rFonts w:ascii="Arial" w:cs="Arial" w:eastAsia="Arial" w:hAnsi="Arial"/>
          <w:sz w:val="24"/>
          <w:szCs w:val="24"/>
        </w:rPr>
        <w:t xml:space="preserve">The annual review should check: that all contracts are current and signed, that policies are up to date with current employment law, and that documentation from any disciplinary or grievance events in the preceding year is complete and filed correctly.</w:t>
      </w:r>
    </w:p>
    <w:p>
      <w:pPr>
        <w:spacing w:after="200"/>
      </w:pPr>
      <w:r>
        <w:rPr>
          <w:rFonts w:ascii="Arial" w:cs="Arial" w:eastAsia="Arial" w:hAnsi="Arial"/>
          <w:sz w:val="24"/>
          <w:szCs w:val="24"/>
        </w:rPr>
        <w:t xml:space="preserve">This does not require a large investment of time when the foundations are right. When they are not, the annual review often reveals gaps that have been quietly accumulating — and that can be addressed before they become expensive.</w:t>
      </w:r>
    </w:p>
    <w:p>
      <w:pPr>
        <w:pStyle w:val="Heading2"/>
        <w:spacing w:before="360" w:after="180"/>
      </w:pPr>
      <w:r>
        <w:rPr>
          <w:rFonts w:ascii="Arial" w:cs="Arial" w:eastAsia="Arial" w:hAnsi="Arial"/>
          <w:b/>
          <w:bCs/>
          <w:color w:val="C0392B"/>
          <w:sz w:val="30"/>
          <w:szCs w:val="30"/>
        </w:rPr>
        <w:t xml:space="preserve">Frequently Asked Questions</w:t>
      </w:r>
    </w:p>
    <w:p>
      <w:pPr>
        <w:spacing w:after="200"/>
      </w:pPr>
      <w:r>
        <w:rPr>
          <w:rFonts w:ascii="Arial" w:cs="Arial" w:eastAsia="Arial" w:hAnsi="Arial"/>
          <w:b/>
          <w:bCs/>
          <w:sz w:val="24"/>
          <w:szCs w:val="24"/>
        </w:rPr>
        <w:t xml:space="preserve">How long should I keep employment records? </w:t>
      </w:r>
      <w:r>
        <w:rPr>
          <w:rFonts w:ascii="Arial" w:cs="Arial" w:eastAsia="Arial" w:hAnsi="Arial"/>
          <w:sz w:val="24"/>
          <w:szCs w:val="24"/>
        </w:rPr>
        <w:t xml:space="preserve">Most employment records should be kept for at least six years after employment ends. Payroll records must be kept for three years. Records relating to right to work checks should be kept for two years after employment ends. Always cross-reference UK GDPR obligations when setting retention periods.</w:t>
      </w:r>
    </w:p>
    <w:p>
      <w:pPr>
        <w:spacing w:after="200"/>
      </w:pPr>
      <w:r>
        <w:rPr>
          <w:rFonts w:ascii="Arial" w:cs="Arial" w:eastAsia="Arial" w:hAnsi="Arial"/>
          <w:b/>
          <w:bCs/>
          <w:sz w:val="24"/>
          <w:szCs w:val="24"/>
        </w:rPr>
        <w:t xml:space="preserve">Do I need to keep written records of informal warnings? </w:t>
      </w:r>
      <w:r>
        <w:rPr>
          <w:rFonts w:ascii="Arial" w:cs="Arial" w:eastAsia="Arial" w:hAnsi="Arial"/>
          <w:sz w:val="24"/>
          <w:szCs w:val="24"/>
        </w:rPr>
        <w:t xml:space="preserve">Yes. Informal warnings that may be relevant to a future formal disciplinary process should be documented — even if only as a brief dated note confirming that a conversation took place and what was discussed. Without this, a claimant can credibly argue that no prior warning was given.</w:t>
      </w:r>
    </w:p>
    <w:p>
      <w:pPr>
        <w:spacing w:after="200"/>
      </w:pPr>
      <w:r>
        <w:rPr>
          <w:rFonts w:ascii="Arial" w:cs="Arial" w:eastAsia="Arial" w:hAnsi="Arial"/>
          <w:b/>
          <w:bCs/>
          <w:sz w:val="24"/>
          <w:szCs w:val="24"/>
        </w:rPr>
        <w:t xml:space="preserve">What if my contracts are mostly fine but a few are old? </w:t>
      </w:r>
      <w:r>
        <w:rPr>
          <w:rFonts w:ascii="Arial" w:cs="Arial" w:eastAsia="Arial" w:hAnsi="Arial"/>
          <w:sz w:val="24"/>
          <w:szCs w:val="24"/>
        </w:rPr>
        <w:t xml:space="preserve">Old contracts create a two-tier workforce problem. If employees are subject to materially different terms — particularly around notice, flexibility, or post-termination restrictions — this creates inconsistency risk and potential for claims of unequal treatment. A targeted contract review is usually sufficient to address this without reissuing everything.</w:t>
      </w:r>
    </w:p>
    <w:p>
      <w:pPr>
        <w:spacing w:after="200"/>
      </w:pPr>
      <w:r>
        <w:rPr>
          <w:rFonts w:ascii="Arial" w:cs="Arial" w:eastAsia="Arial" w:hAnsi="Arial"/>
          <w:b/>
          <w:bCs/>
          <w:sz w:val="24"/>
          <w:szCs w:val="24"/>
        </w:rPr>
        <w:t xml:space="preserve">Do I need employee signatures on policies as well as contracts? </w:t>
      </w:r>
      <w:r>
        <w:rPr>
          <w:rFonts w:ascii="Arial" w:cs="Arial" w:eastAsia="Arial" w:hAnsi="Arial"/>
          <w:sz w:val="24"/>
          <w:szCs w:val="24"/>
        </w:rPr>
        <w:t xml:space="preserve">Signed acknowledgement of key policies — particularly disciplinary and grievance, and data protection — is strongly recommended. It removes the argument that the employee was unaware of the policy, and demonstrates that you communicated it clearly.</w:t>
      </w:r>
    </w:p>
    <w:p>
      <w:pPr>
        <w:pBdr>
          <w:left w:val="single" w:color="C0392B" w:sz="12" w:space="8"/>
        </w:pBdr>
        <w:shd w:fill="FDF0EE" w:val="clear"/>
        <w:spacing w:before="360" w:after="360"/>
      </w:pPr>
      <w:r>
        <w:rPr>
          <w:rFonts w:ascii="Arial" w:cs="Arial" w:eastAsia="Arial" w:hAnsi="Arial"/>
          <w:b/>
          <w:bCs/>
          <w:sz w:val="24"/>
          <w:szCs w:val="24"/>
        </w:rPr>
        <w:t xml:space="preserve">Want to know where your contracts are exposed? </w:t>
      </w:r>
      <w:r>
        <w:rPr>
          <w:rFonts w:ascii="Arial" w:cs="Arial" w:eastAsia="Arial" w:hAnsi="Arial"/>
          <w:sz w:val="24"/>
          <w:szCs w:val="24"/>
        </w:rPr>
        <w:t xml:space="preserve">Book a no-obligation discovery call with Blackwell Advisory. Fixed fee. No retainer required. blackwell-advisory.org/contact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1A"/>
      <w:sz w:val="40"/>
      <w:szCs w:val="40"/>
    </w:rPr>
  </w:style>
  <w:style w:type="paragraph" w:styleId="Heading2">
    <w:name w:val="Heading 2"/>
    <w:basedOn w:val="Normal"/>
    <w:next w:val="Normal"/>
    <w:qFormat/>
    <w:pPr>
      <w:spacing w:before="360" w:after="180"/>
      <w:outlineLvl w:val="1"/>
    </w:pPr>
    <w:rPr>
      <w:rFonts w:ascii="Arial" w:cs="Arial" w:eastAsia="Arial" w:hAnsi="Arial"/>
      <w:b/>
      <w:bCs/>
      <w:color w:val="C0392B"/>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2026-03-16T23:51:26.953Z</dcterms:created>
  <dcterms:modified xsi:type="dcterms:W3CDTF">2026-03-16T23:51:26.956Z</dcterms:modified>
</cp:coreProperties>
</file>

<file path=docProps/custom.xml><?xml version="1.0" encoding="utf-8"?>
<Properties xmlns="http://schemas.openxmlformats.org/officeDocument/2006/custom-properties" xmlns:vt="http://schemas.openxmlformats.org/officeDocument/2006/docPropsVTypes"/>
</file>