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jc w:val="center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en-GB"/>
        </w:rPr>
        <w:t>Amdahl’s Law Exercises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30"/>
          <w:szCs w:val="30"/>
          <w:lang w:eastAsia="en-GB"/>
        </w:rPr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>A program takes 10 seconds to run on a single core. If the non-parallelisable part of the program takes up 60% of the program, the parallelisable section takes up 40% of the program how long will the program take to run on 4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>A program takes 30 seconds to run on a single core. If the non-parallelisable section of the program takes up 50% of the program, how long will the program take to run on 5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>A program takes 1 second to run on a single core. If the parallelisable section of the program takes up 35% of the program, how long will the program take to run on 3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 xml:space="preserve">A program takes 0.5 seconds to run on a single core. If the parallelisable section of the program takes up 50% of the program, how long will the program take to run on 5 cores?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If a program runs in 20 seconds on 4 cores and the parallelisable section of the program takes up 40% of the program, how long will it run on 2 cores?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2ef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82e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LibreOffice/6.0.5.2$Linux_X86_64 LibreOffice_project/00$Build-2</Application>
  <Pages>1</Pages>
  <Words>188</Words>
  <Characters>764</Characters>
  <CharactersWithSpaces>942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2017-07-31T13:47:00Z</dcterms:created>
  <dc:creator>Louise Black</dc:creator>
  <dc:description/>
  <dc:language>en-US</dc:language>
  <cp:lastModifiedBy/>
  <dcterms:modified xsi:type="dcterms:W3CDTF">2018-08-01T12:24:59Z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