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Lacune e ambiguità della riforma elettorale del 2026</w:t>
      </w:r>
    </w:p>
    <w:p>
      <w:pPr>
        <w:pStyle w:val="Subtitle"/>
      </w:pPr>
      <w:r>
        <w:t>Nota per i decisori pubblici · 26 ottobre 2026</w:t>
      </w:r>
    </w:p>
    <w:p>
      <w:pPr>
        <w:pStyle w:val="Heading1"/>
        <w:spacing w:before="0"/>
      </w:pPr>
      <w:r>
        <w:t>Le decisioni da assumere prima del voto</w:t>
      </w:r>
    </w:p>
    <w:p>
      <w:r>
        <w:t>La disciplina introdotta dalla legge 9 ottobre 2026, n. 180, presenta situazioni nelle quali il riparto dei seggi richiede una regola integrativa o una scelta interpretativa non univoca. Occorre chiarire come correggere le assegnazioni quando si esauriscono i seggi attribuiti con i resti, come conciliare i totali territoriali con le dotazioni dei collegi e come procedere in assenza di voti utili al calcolo dei quozienti. Vanno inoltre completati i criteri per le parità e coordinati i rinvii sul recupero dei seggi del Senato fuori regione.</w:t>
      </w:r>
    </w:p>
    <w:p>
      <w:r>
        <w:t>Queste scelte possono cambiare la collocazione territoriale dei seggi e, in alcuni casi, la lista o il candidato eletto. È quindi opportuno definirle con una disposizione espressa prima delle operazioni elettorali. Le criticità illustrate distinguono le lacune procedurali dalle ambiguità che ammettono letture diverse; non costituiscono un accertamento di illegittimità costituzionale.</w:t>
      </w:r>
    </w:p>
    <w:p>
      <w:r>
        <w:t>Abbiamo simulato 1.000 elezioni congiunte di Camera e Senato partendo da dati storici. Le frequenze seguenti misurano le situazioni incontrate nello scenario esaminato. Per concludere le simulazioni sono state necessarie anche ipotesi interpretative aggiuntive.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09"/>
        <w:gridCol w:w="1984"/>
        <w:gridCol w:w="1531"/>
      </w:tblGrid>
      <w:tr>
        <w:trPr>
          <w:cantSplit/>
          <w:tblHeader/>
        </w:trPr>
        <w:tc>
          <w:tcPr>
            <w:tcW w:type="dxa" w:w="6009"/>
            <w:vAlign w:val="center"/>
            <w:tcMar>
              <w:top w:w="65" w:type="dxa"/>
              <w:bottom w:w="65" w:type="dxa"/>
              <w:left w:w="105" w:type="dxa"/>
              <w:right w:w="105" w:type="dxa"/>
            </w:tcMar>
            <w:shd w:fill="E7E6E6"/>
          </w:tcPr>
          <w:p>
            <w:pPr>
              <w:spacing w:after="0" w:line="240" w:lineRule="auto"/>
              <w:jc w:val="left"/>
            </w:pPr>
            <w:r>
              <w:rPr>
                <w:b/>
                <w:sz w:val="20"/>
              </w:rPr>
              <w:t>Situazione</w:t>
            </w:r>
          </w:p>
        </w:tc>
        <w:tc>
          <w:tcPr>
            <w:tcW w:type="dxa" w:w="1984"/>
            <w:vAlign w:val="center"/>
            <w:tcMar>
              <w:top w:w="65" w:type="dxa"/>
              <w:bottom w:w="65" w:type="dxa"/>
              <w:left w:w="105" w:type="dxa"/>
              <w:right w:w="105" w:type="dxa"/>
            </w:tcMar>
            <w:shd w:fill="E7E6E6"/>
          </w:tcPr>
          <w:p>
            <w:pPr>
              <w:spacing w:after="0" w:line="240" w:lineRule="auto"/>
              <w:jc w:val="center"/>
            </w:pPr>
            <w:r>
              <w:rPr>
                <w:b/>
                <w:sz w:val="20"/>
              </w:rPr>
              <w:t>Elezioni interessate su 1.000</w:t>
            </w:r>
          </w:p>
        </w:tc>
        <w:tc>
          <w:tcPr>
            <w:tcW w:type="dxa" w:w="1531"/>
            <w:vAlign w:val="center"/>
            <w:tcMar>
              <w:top w:w="65" w:type="dxa"/>
              <w:bottom w:w="65" w:type="dxa"/>
              <w:left w:w="105" w:type="dxa"/>
              <w:right w:w="105" w:type="dxa"/>
            </w:tcMar>
            <w:shd w:fill="E7E6E6"/>
          </w:tcPr>
          <w:p>
            <w:pPr>
              <w:spacing w:after="0" w:line="240" w:lineRule="auto"/>
              <w:jc w:val="center"/>
            </w:pPr>
            <w:r>
              <w:rPr>
                <w:b/>
                <w:sz w:val="20"/>
              </w:rPr>
              <w:t>Frequenza</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Liste con seggi eccedenti nei collegi e nessun seggio con i resti ancora sottraibile</w:t>
            </w:r>
          </w:p>
        </w:tc>
        <w:tc>
          <w:tcPr>
            <w:tcW w:type="dxa" w:w="1984"/>
            <w:vAlign w:val="center"/>
            <w:tcMar>
              <w:top w:w="65" w:type="dxa"/>
              <w:bottom w:w="65" w:type="dxa"/>
              <w:left w:w="105" w:type="dxa"/>
              <w:right w:w="105" w:type="dxa"/>
            </w:tcMar>
          </w:tcPr>
          <w:p>
            <w:pPr>
              <w:spacing w:after="0" w:line="240" w:lineRule="auto"/>
              <w:jc w:val="center"/>
            </w:pPr>
            <w:r>
              <w:rPr>
                <w:b w:val="0"/>
                <w:sz w:val="20"/>
              </w:rPr>
              <w:t>328</w:t>
            </w:r>
          </w:p>
        </w:tc>
        <w:tc>
          <w:tcPr>
            <w:tcW w:type="dxa" w:w="1531"/>
            <w:vAlign w:val="center"/>
            <w:tcMar>
              <w:top w:w="65" w:type="dxa"/>
              <w:bottom w:w="65" w:type="dxa"/>
              <w:left w:w="105" w:type="dxa"/>
              <w:right w:w="105" w:type="dxa"/>
            </w:tcMar>
          </w:tcPr>
          <w:p>
            <w:pPr>
              <w:spacing w:after="0" w:line="240" w:lineRule="auto"/>
              <w:jc w:val="center"/>
            </w:pPr>
            <w:r>
              <w:rPr>
                <w:b w:val="0"/>
                <w:sz w:val="20"/>
              </w:rPr>
              <w:t>32,8%</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Gruppi di maggioranza o minoranza con la stessa difficoltà</w:t>
            </w:r>
          </w:p>
        </w:tc>
        <w:tc>
          <w:tcPr>
            <w:tcW w:type="dxa" w:w="1984"/>
            <w:vAlign w:val="center"/>
            <w:tcMar>
              <w:top w:w="65" w:type="dxa"/>
              <w:bottom w:w="65" w:type="dxa"/>
              <w:left w:w="105" w:type="dxa"/>
              <w:right w:w="105" w:type="dxa"/>
            </w:tcMar>
          </w:tcPr>
          <w:p>
            <w:pPr>
              <w:spacing w:after="0" w:line="240" w:lineRule="auto"/>
              <w:jc w:val="center"/>
            </w:pPr>
            <w:r>
              <w:rPr>
                <w:b w:val="0"/>
                <w:sz w:val="20"/>
              </w:rPr>
              <w:t>0</w:t>
            </w:r>
          </w:p>
        </w:tc>
        <w:tc>
          <w:tcPr>
            <w:tcW w:type="dxa" w:w="1531"/>
            <w:vAlign w:val="center"/>
            <w:tcMar>
              <w:top w:w="65" w:type="dxa"/>
              <w:bottom w:w="65" w:type="dxa"/>
              <w:left w:w="105" w:type="dxa"/>
              <w:right w:w="105" w:type="dxa"/>
            </w:tcMar>
          </w:tcPr>
          <w:p>
            <w:pPr>
              <w:spacing w:after="0" w:line="240" w:lineRule="auto"/>
              <w:jc w:val="center"/>
            </w:pPr>
            <w:r>
              <w:rPr>
                <w:b w:val="0"/>
                <w:sz w:val="20"/>
              </w:rPr>
              <w:t>0,0%</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Totali circoscrizionali incompatibili con la somma delle dotazioni dei collegi</w:t>
            </w:r>
          </w:p>
        </w:tc>
        <w:tc>
          <w:tcPr>
            <w:tcW w:type="dxa" w:w="1984"/>
            <w:vAlign w:val="center"/>
            <w:tcMar>
              <w:top w:w="65" w:type="dxa"/>
              <w:bottom w:w="65" w:type="dxa"/>
              <w:left w:w="105" w:type="dxa"/>
              <w:right w:w="105" w:type="dxa"/>
            </w:tcMar>
          </w:tcPr>
          <w:p>
            <w:pPr>
              <w:spacing w:after="0" w:line="240" w:lineRule="auto"/>
              <w:jc w:val="center"/>
            </w:pPr>
            <w:r>
              <w:rPr>
                <w:b w:val="0"/>
                <w:sz w:val="20"/>
              </w:rPr>
              <w:t>7</w:t>
            </w:r>
          </w:p>
        </w:tc>
        <w:tc>
          <w:tcPr>
            <w:tcW w:type="dxa" w:w="1531"/>
            <w:vAlign w:val="center"/>
            <w:tcMar>
              <w:top w:w="65" w:type="dxa"/>
              <w:bottom w:w="65" w:type="dxa"/>
              <w:left w:w="105" w:type="dxa"/>
              <w:right w:w="105" w:type="dxa"/>
            </w:tcMar>
          </w:tcPr>
          <w:p>
            <w:pPr>
              <w:spacing w:after="0" w:line="240" w:lineRule="auto"/>
              <w:jc w:val="center"/>
            </w:pPr>
            <w:r>
              <w:rPr>
                <w:b w:val="0"/>
                <w:sz w:val="20"/>
              </w:rPr>
              <w:t>0,7%</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Liste deficitarie che hanno già utilizzato tutti i resti disponibili nei collegi</w:t>
            </w:r>
          </w:p>
        </w:tc>
        <w:tc>
          <w:tcPr>
            <w:tcW w:type="dxa" w:w="1984"/>
            <w:vAlign w:val="center"/>
            <w:tcMar>
              <w:top w:w="65" w:type="dxa"/>
              <w:bottom w:w="65" w:type="dxa"/>
              <w:left w:w="105" w:type="dxa"/>
              <w:right w:w="105" w:type="dxa"/>
            </w:tcMar>
          </w:tcPr>
          <w:p>
            <w:pPr>
              <w:spacing w:after="0" w:line="240" w:lineRule="auto"/>
              <w:jc w:val="center"/>
            </w:pPr>
            <w:r>
              <w:rPr>
                <w:b w:val="0"/>
                <w:sz w:val="20"/>
              </w:rPr>
              <w:t>16</w:t>
            </w:r>
          </w:p>
        </w:tc>
        <w:tc>
          <w:tcPr>
            <w:tcW w:type="dxa" w:w="1531"/>
            <w:vAlign w:val="center"/>
            <w:tcMar>
              <w:top w:w="65" w:type="dxa"/>
              <w:bottom w:w="65" w:type="dxa"/>
              <w:left w:w="105" w:type="dxa"/>
              <w:right w:w="105" w:type="dxa"/>
            </w:tcMar>
          </w:tcPr>
          <w:p>
            <w:pPr>
              <w:spacing w:after="0" w:line="240" w:lineRule="auto"/>
              <w:jc w:val="center"/>
            </w:pPr>
            <w:r>
              <w:rPr>
                <w:b w:val="0"/>
                <w:sz w:val="20"/>
              </w:rPr>
              <w:t>1,6%</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Liste coalizzate con seggi circoscrizionali eccedenti ottenuti tutti con quozienti interi</w:t>
            </w:r>
          </w:p>
        </w:tc>
        <w:tc>
          <w:tcPr>
            <w:tcW w:type="dxa" w:w="1984"/>
            <w:vAlign w:val="center"/>
            <w:tcMar>
              <w:top w:w="65" w:type="dxa"/>
              <w:bottom w:w="65" w:type="dxa"/>
              <w:left w:w="105" w:type="dxa"/>
              <w:right w:w="105" w:type="dxa"/>
            </w:tcMar>
          </w:tcPr>
          <w:p>
            <w:pPr>
              <w:spacing w:after="0" w:line="240" w:lineRule="auto"/>
              <w:jc w:val="center"/>
            </w:pPr>
            <w:r>
              <w:rPr>
                <w:b w:val="0"/>
                <w:sz w:val="20"/>
              </w:rPr>
              <w:t>11</w:t>
            </w:r>
          </w:p>
        </w:tc>
        <w:tc>
          <w:tcPr>
            <w:tcW w:type="dxa" w:w="1531"/>
            <w:vAlign w:val="center"/>
            <w:tcMar>
              <w:top w:w="65" w:type="dxa"/>
              <w:bottom w:w="65" w:type="dxa"/>
              <w:left w:w="105" w:type="dxa"/>
              <w:right w:w="105" w:type="dxa"/>
            </w:tcMar>
          </w:tcPr>
          <w:p>
            <w:pPr>
              <w:spacing w:after="0" w:line="240" w:lineRule="auto"/>
              <w:jc w:val="center"/>
            </w:pPr>
            <w:r>
              <w:rPr>
                <w:b w:val="0"/>
                <w:sz w:val="20"/>
              </w:rPr>
              <w:t>1,1%</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Gruppo con seggi da distribuire e nessun voto utile al calcolo del quoziente</w:t>
            </w:r>
          </w:p>
        </w:tc>
        <w:tc>
          <w:tcPr>
            <w:tcW w:type="dxa" w:w="1984"/>
            <w:vAlign w:val="center"/>
            <w:tcMar>
              <w:top w:w="65" w:type="dxa"/>
              <w:bottom w:w="65" w:type="dxa"/>
              <w:left w:w="105" w:type="dxa"/>
              <w:right w:w="105" w:type="dxa"/>
            </w:tcMar>
          </w:tcPr>
          <w:p>
            <w:pPr>
              <w:spacing w:after="0" w:line="240" w:lineRule="auto"/>
              <w:jc w:val="center"/>
            </w:pPr>
            <w:r>
              <w:rPr>
                <w:b w:val="0"/>
                <w:sz w:val="20"/>
              </w:rPr>
              <w:t>Non determinabile¹</w:t>
            </w:r>
          </w:p>
        </w:tc>
        <w:tc>
          <w:tcPr>
            <w:tcW w:type="dxa" w:w="1531"/>
            <w:vAlign w:val="center"/>
            <w:tcMar>
              <w:top w:w="65" w:type="dxa"/>
              <w:bottom w:w="65" w:type="dxa"/>
              <w:left w:w="105" w:type="dxa"/>
              <w:right w:w="105" w:type="dxa"/>
            </w:tcMar>
          </w:tcPr>
          <w:p>
            <w:pPr>
              <w:spacing w:after="0" w:line="240" w:lineRule="auto"/>
              <w:jc w:val="center"/>
            </w:pPr>
            <w:r>
              <w:rPr>
                <w:b w:val="0"/>
                <w:sz w:val="20"/>
              </w:rPr>
              <w:t>—</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Parità senza criterio normativo conclusivo</w:t>
            </w:r>
          </w:p>
        </w:tc>
        <w:tc>
          <w:tcPr>
            <w:tcW w:type="dxa" w:w="1984"/>
            <w:vAlign w:val="center"/>
            <w:tcMar>
              <w:top w:w="65" w:type="dxa"/>
              <w:bottom w:w="65" w:type="dxa"/>
              <w:left w:w="105" w:type="dxa"/>
              <w:right w:w="105" w:type="dxa"/>
            </w:tcMar>
          </w:tcPr>
          <w:p>
            <w:pPr>
              <w:spacing w:after="0" w:line="240" w:lineRule="auto"/>
              <w:jc w:val="center"/>
            </w:pPr>
            <w:r>
              <w:rPr>
                <w:b w:val="0"/>
                <w:sz w:val="20"/>
              </w:rPr>
              <w:t>8</w:t>
            </w:r>
          </w:p>
        </w:tc>
        <w:tc>
          <w:tcPr>
            <w:tcW w:type="dxa" w:w="1531"/>
            <w:vAlign w:val="center"/>
            <w:tcMar>
              <w:top w:w="65" w:type="dxa"/>
              <w:bottom w:w="65" w:type="dxa"/>
              <w:left w:w="105" w:type="dxa"/>
              <w:right w:w="105" w:type="dxa"/>
            </w:tcMar>
          </w:tcPr>
          <w:p>
            <w:pPr>
              <w:spacing w:after="0" w:line="240" w:lineRule="auto"/>
              <w:jc w:val="center"/>
            </w:pPr>
            <w:r>
              <w:rPr>
                <w:b w:val="0"/>
                <w:sz w:val="20"/>
              </w:rPr>
              <w:t>0,8%</w:t>
            </w:r>
          </w:p>
        </w:tc>
      </w:tr>
      <w:tr>
        <w:trPr>
          <w:cantSplit/>
        </w:trPr>
        <w:tc>
          <w:tcPr>
            <w:tcW w:type="dxa" w:w="6009"/>
            <w:vAlign w:val="center"/>
            <w:tcMar>
              <w:top w:w="65" w:type="dxa"/>
              <w:bottom w:w="65" w:type="dxa"/>
              <w:left w:w="105" w:type="dxa"/>
              <w:right w:w="105" w:type="dxa"/>
            </w:tcMar>
          </w:tcPr>
          <w:p>
            <w:pPr>
              <w:spacing w:after="0" w:line="240" w:lineRule="auto"/>
              <w:jc w:val="left"/>
            </w:pPr>
            <w:r>
              <w:rPr>
                <w:b w:val="0"/>
                <w:sz w:val="20"/>
              </w:rPr>
              <w:t>Recupero di un seggio del Senato in un’altra regione</w:t>
            </w:r>
          </w:p>
        </w:tc>
        <w:tc>
          <w:tcPr>
            <w:tcW w:type="dxa" w:w="1984"/>
            <w:vAlign w:val="center"/>
            <w:tcMar>
              <w:top w:w="65" w:type="dxa"/>
              <w:bottom w:w="65" w:type="dxa"/>
              <w:left w:w="105" w:type="dxa"/>
              <w:right w:w="105" w:type="dxa"/>
            </w:tcMar>
          </w:tcPr>
          <w:p>
            <w:pPr>
              <w:spacing w:after="0" w:line="240" w:lineRule="auto"/>
              <w:jc w:val="center"/>
            </w:pPr>
            <w:r>
              <w:rPr>
                <w:b w:val="0"/>
                <w:sz w:val="20"/>
              </w:rPr>
              <w:t>1</w:t>
            </w:r>
          </w:p>
        </w:tc>
        <w:tc>
          <w:tcPr>
            <w:tcW w:type="dxa" w:w="1531"/>
            <w:vAlign w:val="center"/>
            <w:tcMar>
              <w:top w:w="65" w:type="dxa"/>
              <w:bottom w:w="65" w:type="dxa"/>
              <w:left w:w="105" w:type="dxa"/>
              <w:right w:w="105" w:type="dxa"/>
            </w:tcMar>
          </w:tcPr>
          <w:p>
            <w:pPr>
              <w:spacing w:after="0" w:line="240" w:lineRule="auto"/>
              <w:jc w:val="center"/>
            </w:pPr>
            <w:r>
              <w:rPr>
                <w:b w:val="0"/>
                <w:sz w:val="20"/>
              </w:rPr>
              <w:t>0,1%</w:t>
            </w:r>
          </w:p>
        </w:tc>
      </w:tr>
    </w:tbl>
    <w:p>
      <w:pPr>
        <w:spacing w:after="0" w:before="0" w:line="40" w:lineRule="exact"/>
      </w:pPr>
    </w:p>
    <w:p>
      <w:r>
        <w:rPr>
          <w:sz w:val="19"/>
        </w:rPr>
        <w:t>Le righe possono riguardare la stessa elezione e non vanno sommate. L’assenza di casi osservati non esclude la possibilità aritmetica della situazione.</w:t>
      </w:r>
    </w:p>
    <w:p>
      <w:r>
        <w:rPr>
          <w:sz w:val="19"/>
        </w:rPr>
        <w:t>¹ In 60 elezioni, pari al 6,0%, sono state escluse preventivamente destinazioni con zero voti durante le correzioni circoscrizionali della Camera. Questo dato misura una precauzione adottata, non il numero di casi in cui si sarebbe necessariamente formato un gruppo con quoziente nullo.</w:t>
      </w:r>
    </w:p>
    <w:p>
      <w:r>
        <w:br w:type="page"/>
      </w:r>
    </w:p>
    <w:p>
      <w:pPr>
        <w:pStyle w:val="Heading1"/>
        <w:spacing w:before="0"/>
      </w:pPr>
      <w:r>
        <w:t>Seggi eccedenti e quozienti interi</w:t>
      </w:r>
    </w:p>
    <w:p>
      <w:pPr>
        <w:pStyle w:val="Heading2"/>
      </w:pPr>
      <w:r>
        <w:t>Liste nei collegi plurinominali</w:t>
      </w:r>
    </w:p>
    <w:p>
      <w:r/>
      <w:r>
        <w:rPr>
          <w:b/>
        </w:rPr>
        <w:t>Problema.</w:t>
      </w:r>
      <w:r>
        <w:t xml:space="preserve"> Una lista può ottenere nei collegi più seggi di quanti le spettino complessivamente nella circoscrizione o nella regione, anche quando tutti i seggi ancora sottraibili derivano dalla parte intera del quoziente. Il riferimento alle parti decimali può essere letto come limite ai seggi sottraibili oppure come semplice criterio per scegliere il collegio. La prima lettura lascia senza soluzione il caso dei soli seggi interi; la seconda richiede di esplicitare che possono essere sottratti anche questi.</w:t>
      </w:r>
    </w:p>
    <w:p>
      <w:r/>
      <w:r>
        <w:rPr>
          <w:b/>
        </w:rPr>
        <w:t>Riferimenti.</w:t>
      </w:r>
      <w:r>
        <w:t xml:space="preserve"> Articolo 83-bis, comma 1, lettera b), numero 3), del d.P.R. 30 marzo 1957, n. 361; articolo 17, comma 4, lettera c), del d.lgs. 20 dicembre 1993, n. 533. Le disposizioni sono richiamate anche per il riparto interno ai gruppi, rispettivamente dall’articolo 83-bis, comma 1-bis, lettera d), e dall’articolo 17, comma 5, lettera d).</w:t>
      </w:r>
    </w:p>
    <w:p>
      <w:r/>
      <w:r>
        <w:rPr>
          <w:b/>
        </w:rPr>
        <w:t>Esempio numerico.</w:t>
      </w:r>
      <w:r>
        <w:t xml:space="preserve"> In un collegio da quattro seggi, quattro liste hanno 88.446, 45.804, 28.436 e 7.630 voti. A ciascuna spetta un seggio nel riparto complessivo. Il quoziente è 42.579: la prima assegnazione attribuisce due seggi interi alla prima lista, uno alla seconda e un seggio con i resti alla terza. La quarta resta senza seggio. Per ottenere un seggio per lista occorre sottrarre alla prima un seggio intero: non possiede alcun seggio assegnato con i resti.</w:t>
      </w:r>
    </w:p>
    <w:p>
      <w:r/>
      <w:r>
        <w:rPr>
          <w:b/>
        </w:rPr>
        <w:t>Chiarimento richiesto.</w:t>
      </w:r>
      <w:r>
        <w:t xml:space="preserve"> Precisare se e in quale ordine sia ammessa la sottrazione di seggi interi dopo l’esaurimento di quelli attribuiti con i resti. Nelle simulazioni questa necessità è stata registrata in 328 elezioni: 323 alla Camera e 12 al Senato, con sovrapposizione in alcune elezioni; le sottrazioni sono state complessivamente 446.</w:t>
      </w:r>
    </w:p>
    <w:p>
      <w:pPr>
        <w:pStyle w:val="Heading2"/>
      </w:pPr>
      <w:r>
        <w:t>Liste coalizzate nel riparto tra circoscrizioni della Camera</w:t>
      </w:r>
    </w:p>
    <w:p>
      <w:r/>
      <w:r>
        <w:rPr>
          <w:b/>
        </w:rPr>
        <w:t>Problema.</w:t>
      </w:r>
      <w:r>
        <w:t xml:space="preserve"> La stessa difficoltà si presenta prima del riparto nei collegi, quando si riconciliano i seggi delle liste coalizzate nelle circoscrizioni con il numero loro spettante a livello nazionale. Qui il rinvio alla procedura di correzione individua seggi ottenuti con i resti, senza dettare una soluzione residuale per una lista eccedentaria che abbia soltanto seggi interi.</w:t>
      </w:r>
    </w:p>
    <w:p>
      <w:r/>
      <w:r>
        <w:rPr>
          <w:b/>
        </w:rPr>
        <w:t>Riferimenti.</w:t>
      </w:r>
      <w:r>
        <w:t xml:space="preserve"> Articolo 83, comma 1, lettera i), mediante il rinvio alla lettera h), periodi nono e seguenti, del d.P.R. n. 361 del 1957; richiamo anche nel comma 1-ter, lettera e).</w:t>
      </w:r>
    </w:p>
    <w:p>
      <w:r/>
      <w:r>
        <w:rPr>
          <w:b/>
        </w:rPr>
        <w:t>Esempio osservato.</w:t>
      </w:r>
      <w:r>
        <w:t xml:space="preserve"> A Sud chiama Nord spettano quattro seggi nazionali. Il primo riparto ne assegna due in Sicilia 1 e tre in Sicilia 2, tutti interi, mentre alla Lega manca un seggio rispetto al totale spettante. Occorre correggere l’eccedenza di Sud chiama Nord, ma nessuno dei suoi cinque seggi è stato ottenuto con i resti.</w:t>
      </w:r>
    </w:p>
    <w:p>
      <w:r/>
      <w:r>
        <w:rPr>
          <w:b/>
        </w:rPr>
        <w:t>Chiarimento richiesto.</w:t>
      </w:r>
      <w:r>
        <w:t xml:space="preserve"> Prevedere una regola residuale anche per questa fase, precisando la priorità tra circoscrizioni e il coordinamento con la lista deficitaria. Il caso ricorre in 11 elezioni simulate, pari all’1,1%.</w:t>
      </w:r>
    </w:p>
    <w:p>
      <w:r>
        <w:br w:type="page"/>
      </w:r>
    </w:p>
    <w:p>
      <w:pPr>
        <w:pStyle w:val="Heading1"/>
        <w:spacing w:before="0"/>
      </w:pPr>
      <w:r>
        <w:t>Riparto tra gruppi di maggioranza e minoranza</w:t>
      </w:r>
    </w:p>
    <w:p>
      <w:r>
        <w:t>Il limite massimo dei seggi del beneficiario del premio comporta un riparto distinto tra il gruppo di liste di maggioranza e quello di minoranza. Le correzioni tra questi gruppi pongono due problemi diversi.</w:t>
      </w:r>
    </w:p>
    <w:p>
      <w:pPr>
        <w:pStyle w:val="Heading2"/>
      </w:pPr>
      <w:r>
        <w:t>Esaurimento dei seggi attribuiti con i resti</w:t>
      </w:r>
    </w:p>
    <w:p>
      <w:r/>
      <w:r>
        <w:rPr>
          <w:b/>
        </w:rPr>
        <w:t>Problema.</w:t>
      </w:r>
      <w:r>
        <w:t xml:space="preserve"> La norma prescrive di sottrarre al gruppo eccedentario seggi ottenuti con le parti decimali e di assegnarli al gruppo deficitario negli stessi collegi. Se l’eccedenza supera i seggi ottenuti con i resti, manca una regola per completare la correzione.</w:t>
      </w:r>
    </w:p>
    <w:p>
      <w:r/>
      <w:r>
        <w:rPr>
          <w:b/>
        </w:rPr>
        <w:t>Riferimenti.</w:t>
      </w:r>
      <w:r>
        <w:t xml:space="preserve"> Articolo 83-bis, comma 1-bis, lettera c), del d.P.R. n. 361 del 1957; articolo 17, comma 5, lettera c), del d.lgs. n. 533 del 1993.</w:t>
      </w:r>
    </w:p>
    <w:p>
      <w:r/>
      <w:r>
        <w:rPr>
          <w:b/>
        </w:rPr>
        <w:t>Esempio numerico.</w:t>
      </w:r>
      <w:r>
        <w:t xml:space="preserve"> Tre collegi hanno due seggi ciascuno. I voti dei due gruppi sono rispettivamente 50 contro 10, 50 contro 10 e 0 contro 480. Al gruppo di maggioranza spetta un seggio complessivo, al gruppo di minoranza cinque; entrambi i quozienti di gruppo sono 100. Il riparto iniziale attribuisce due seggi alla maggioranza in ciascuno dei primi due collegi e due alla minoranza nel terzo. La maggioranza ha quindi quattro seggi, due interi e due con i resti. Togliere entrambi i seggi con i resti la lascia ancora con due seggi, uno più del dovuto.</w:t>
      </w:r>
    </w:p>
    <w:p>
      <w:r/>
      <w:r>
        <w:rPr>
          <w:b/>
        </w:rPr>
        <w:t>Chiarimento richiesto.</w:t>
      </w:r>
      <w:r>
        <w:t xml:space="preserve"> Stabilire come rimuovere l’eccedenza residua, anche quando occorra incidere sui seggi interi. Il caso non si è verificato nelle 1.000 elezioni esaminate, ma l’esempio ne dimostra la possibilità aritmetica.</w:t>
      </w:r>
    </w:p>
    <w:p>
      <w:pPr>
        <w:pStyle w:val="Heading2"/>
      </w:pPr>
      <w:r>
        <w:t>Incompatibilità tra dotazioni dei collegi e totali circoscrizionali</w:t>
      </w:r>
    </w:p>
    <w:p>
      <w:r/>
      <w:r>
        <w:rPr>
          <w:b/>
        </w:rPr>
        <w:t>Problema.</w:t>
      </w:r>
      <w:r>
        <w:t xml:space="preserve"> Le correzioni nazionali della Camera possono comunicare a una circoscrizione un totale diverso dalla somma dei seggi dei suoi collegi. Il successivo riparto parte dalle dotazioni dei collegi e consente trasferimenti tra gruppi soltanto nello stesso collegio. Questi trasferimenti non possono modificare il totale circoscrizionale: i due vincoli diventano incompatibili.</w:t>
      </w:r>
    </w:p>
    <w:p>
      <w:r/>
      <w:r>
        <w:rPr>
          <w:b/>
        </w:rPr>
        <w:t>Riferimenti.</w:t>
      </w:r>
      <w:r>
        <w:t xml:space="preserve"> Articoli 3 e 83 del d.P.R. n. 361 del 1957, in coordinamento con l’articolo 83-bis, comma 1-bis, lettere b) e c).</w:t>
      </w:r>
    </w:p>
    <w:p>
      <w:r/>
      <w:r>
        <w:rPr>
          <w:b/>
        </w:rPr>
        <w:t>Esempio semplificato.</w:t>
      </w:r>
      <w:r>
        <w:t xml:space="preserve"> Due circoscrizioni hanno collegi con dotazioni complessive di tre seggi ciascuna. Una correzione nazionale porta i seggi loro spettanti a due e quattro, conservando i sei seggi nazionali. Nessun trasferimento tra maggioranza e minoranza all’interno dei collegi può trasformare i totali di tre e tre in due e quattro.</w:t>
      </w:r>
    </w:p>
    <w:p>
      <w:r/>
      <w:r>
        <w:rPr>
          <w:b/>
        </w:rPr>
        <w:t>Chiarimento richiesto.</w:t>
      </w:r>
      <w:r>
        <w:t xml:space="preserve"> Scegliere quale vincolo prevalga e indicare la procedura conseguente: impedire a monte lo scostamento oppure disciplinare espressamente la variazione dei totali dei collegi. Sono state registrate sette elezioni interessate, pari allo 0,7%, con 14 circoscrizioni coinvolte.</w:t>
      </w:r>
    </w:p>
    <w:p>
      <w:r>
        <w:br w:type="page"/>
      </w:r>
    </w:p>
    <w:p>
      <w:pPr>
        <w:pStyle w:val="Heading1"/>
        <w:spacing w:before="0"/>
      </w:pPr>
      <w:r>
        <w:t>Resti esauriti e assenza di voti</w:t>
      </w:r>
    </w:p>
    <w:p>
      <w:pPr>
        <w:pStyle w:val="Heading2"/>
      </w:pPr>
      <w:r>
        <w:t>Liste deficitarie senza resti ancora utilizzabili</w:t>
      </w:r>
    </w:p>
    <w:p>
      <w:r/>
      <w:r>
        <w:rPr>
          <w:b/>
        </w:rPr>
        <w:t>Problema.</w:t>
      </w:r>
      <w:r>
        <w:t xml:space="preserve"> Una lista può avere diritto a più seggi di quanti ne ottenga sommando i seggi interi e un’assegnazione con i resti in ciascun collegio. La correzione richiede però un resto non utilizzato. Una volta utilizzati tutti i resti, manca il criterio per assegnare gli ulteriori seggi dovuti, anche se un’altra lista può cederli.</w:t>
      </w:r>
    </w:p>
    <w:p>
      <w:r/>
      <w:r>
        <w:rPr>
          <w:b/>
        </w:rPr>
        <w:t>Riferimenti.</w:t>
      </w:r>
      <w:r>
        <w:t xml:space="preserve"> Articolo 83-bis, comma 1, lettera b), numero 3), e comma 1-bis, lettera d), del d.P.R. n. 361 del 1957; articolo 17, comma 4, lettera c), e comma 5, lettera d), del d.lgs. n. 533 del 1993.</w:t>
      </w:r>
    </w:p>
    <w:p>
      <w:r/>
      <w:r>
        <w:rPr>
          <w:b/>
        </w:rPr>
        <w:t>Esempio numerico.</w:t>
      </w:r>
      <w:r>
        <w:t xml:space="preserve"> In un unico collegio, due liste devono dividersi sei seggi con spettanze finali di quattro e due. Hanno 210.634 e 32.554 voti; il quoziente intero è 40.531. Ottengono inizialmente cinque e zero seggi interi. Il seggio residuo va alla seconda lista, che usa così il proprio unico resto, ma resta a un seggio anziché due. Anche ammettendo di togliere un seggio intero alla prima, non esiste più un resto inutilizzato della seconda.</w:t>
      </w:r>
    </w:p>
    <w:p>
      <w:r/>
      <w:r>
        <w:rPr>
          <w:b/>
        </w:rPr>
        <w:t>Chiarimento richiesto.</w:t>
      </w:r>
      <w:r>
        <w:t xml:space="preserve"> Disciplinare gli ulteriori turni di assegnazione o introdurre un diverso criterio residuale, specificando se e come riutilizzare i resti. La situazione ricorre in 16 elezioni, pari all’1,6%: 12 alla Camera e quattro al Senato, per 17 assegnazioni aggiuntive.</w:t>
      </w:r>
    </w:p>
    <w:p>
      <w:pPr>
        <w:pStyle w:val="Heading2"/>
      </w:pPr>
      <w:r>
        <w:t>Gruppo con seggi ma senza voti utili al calcolo</w:t>
      </w:r>
    </w:p>
    <w:p>
      <w:r/>
      <w:r>
        <w:rPr>
          <w:b/>
        </w:rPr>
        <w:t>Problema.</w:t>
      </w:r>
      <w:r>
        <w:t xml:space="preserve"> Le correzioni circoscrizionali possono assegnare un seggio a una lista presentata nel territorio ma priva di voti locali. Se quella lista è l’unica con seggi nel proprio gruppo, la somma dei voti utili del gruppo è zero. Il quoziente di gruppo è quindi nullo e la successiva divisione dei voti di collegio per quel quoziente non è definita.</w:t>
      </w:r>
    </w:p>
    <w:p>
      <w:r/>
      <w:r>
        <w:rPr>
          <w:b/>
        </w:rPr>
        <w:t>Riferimenti.</w:t>
      </w:r>
      <w:r>
        <w:t xml:space="preserve"> Articolo 83, comma 1, lettere h) e i), e comma 1-ter, lettera e), in relazione all’articolo 83-bis, comma 1-bis, lettere a) e b), del d.P.R. n. 361 del 1957.</w:t>
      </w:r>
    </w:p>
    <w:p>
      <w:r/>
      <w:r>
        <w:rPr>
          <w:b/>
        </w:rPr>
        <w:t>Esempio.</w:t>
      </w:r>
      <w:r>
        <w:t xml:space="preserve"> Una correzione attribuisce in Molise un seggio a una lista con candidature ma zero voti. Se le altre liste del gruppo non hanno seggi nella circoscrizione, il calcolo del gruppo deve distribuire un seggio sulla base di zero voti e conduce a una divisione di zero per zero.</w:t>
      </w:r>
    </w:p>
    <w:p>
      <w:r/>
      <w:r>
        <w:rPr>
          <w:b/>
        </w:rPr>
        <w:t>Chiarimento richiesto.</w:t>
      </w:r>
      <w:r>
        <w:t xml:space="preserve"> Stabilire l’ammissibilità delle destinazioni a zero voti e una disciplina residuale per i quozienti nulli. Va distinta l’assenza di voti dal caso di voti positivi con parte decimale nulla. L’archivio segnala 60 elezioni con esclusioni preventive di destinazioni a zero voti, ma non consente di misurare quante avrebbero prodotto questa specifica impossibilità di calcolo. Il fenomeno è inoltre sensibile alle ipotesi di distribuzione territoriale dei voti.</w:t>
      </w:r>
    </w:p>
    <w:p>
      <w:r>
        <w:br w:type="page"/>
      </w:r>
    </w:p>
    <w:p>
      <w:pPr>
        <w:pStyle w:val="Heading1"/>
        <w:spacing w:before="0"/>
      </w:pPr>
      <w:r>
        <w:t>Parità e recupero dei seggi del Senato</w:t>
      </w:r>
    </w:p>
    <w:p>
      <w:pPr>
        <w:pStyle w:val="Heading2"/>
      </w:pPr>
      <w:r>
        <w:t>Parità senza criterio conclusivo</w:t>
      </w:r>
    </w:p>
    <w:p>
      <w:r/>
      <w:r>
        <w:rPr>
          <w:b/>
        </w:rPr>
        <w:t>Problema.</w:t>
      </w:r>
      <w:r>
        <w:t xml:space="preserve"> Alcune disposizioni prevedono espressamente il sorteggio; altre indicano una graduatoria senza risolvere l’eventuale parità finale. Non è automatico che il sorteggio stabilito per una fase si estenda a tutte le altre. Le conseguenze possono riguardare l’individuazione del collegio che perde o riceve un seggio, la scelta tra plurielezioni e, in ipotesi, l’individuazione dei soggetti concorrenti al premio.</w:t>
      </w:r>
    </w:p>
    <w:p>
      <w:r/>
      <w:r>
        <w:rPr>
          <w:b/>
        </w:rPr>
        <w:t>Riferimenti.</w:t>
      </w:r>
      <w:r>
        <w:t xml:space="preserve"> Tra le disposizioni da completare: articolo 83-bis, comma 1, lettera b), numero 3), e comma 1-bis, lettera c), e articolo 85 del d.P.R. n. 361 del 1957; articolo 17, commi 4, lettera c), e 5, lettera c), e articolo 17-bis, comma 3, del d.lgs. n. 533 del 1993. Per il premio rilevano l’articolo 83, comma 1, lettere e-ter) e seguenti, e l’articolo 16-bis, comma 1, lettere e-bis) e seguenti.</w:t>
      </w:r>
    </w:p>
    <w:p>
      <w:r/>
      <w:r>
        <w:rPr>
          <w:b/>
        </w:rPr>
        <w:t>Esempio.</w:t>
      </w:r>
      <w:r>
        <w:t xml:space="preserve"> Una lista deficitaria presenta la stessa parte decimale non utilizzata in due collegi. La regola di correzione richiede di scegliere il valore maggiore, ma non distingue i due collegi. La decisione può cambiare il candidato eletto.</w:t>
      </w:r>
    </w:p>
    <w:p>
      <w:r/>
      <w:r>
        <w:rPr>
          <w:b/>
        </w:rPr>
        <w:t>Chiarimento richiesto.</w:t>
      </w:r>
      <w:r>
        <w:t xml:space="preserve"> Introdurre un criterio conclusivo espresso, eventualmente un sorteggio dopo l’esaurimento dei criteri sostanziali, con modalità di verbalizzazione. Nelle simulazioni si è resa necessaria una scelta integrativa in otto elezioni, pari allo 0,8%: sette alla Camera e una al Senato. Questo conteggio esclude i sorteggi già previsti espressamente dalla legge.</w:t>
      </w:r>
    </w:p>
    <w:p>
      <w:pPr>
        <w:pStyle w:val="Heading2"/>
      </w:pPr>
      <w:r>
        <w:t>Recupero fuori regione dopo l’esaurimento dei candidati</w:t>
      </w:r>
    </w:p>
    <w:p>
      <w:r/>
      <w:r>
        <w:rPr>
          <w:b/>
        </w:rPr>
        <w:t>Problema.</w:t>
      </w:r>
      <w:r>
        <w:t xml:space="preserve"> Per il Senato, la norma sull’esaurimento iniziale dei candidati richiama le disposizioni della Camera ma esclude i commi sul recupero in altre circoscrizioni. Un altro rinvio, relativo ai seggi rimasti vacanti per qualsiasi causa, anche sopravvenuta, può invece ricondurre a quel recupero. Occorre stabilire il rapporto tra i due rinvii e la priorità tra la stessa lista in un’altra regione e le liste coalizzate nella regione originaria.</w:t>
      </w:r>
    </w:p>
    <w:p>
      <w:r/>
      <w:r>
        <w:rPr>
          <w:b/>
        </w:rPr>
        <w:t>Riferimenti.</w:t>
      </w:r>
      <w:r>
        <w:t xml:space="preserve"> Articoli 17-bis, comma 2, e 19, comma 2, del d.lgs. n. 533 del 1993; articoli 86, comma 2, e 84, commi 2, 4 e 5, del d.P.R. n. 361 del 1957; articolo 57 della Costituzione. La carenza di candidati nelle liste del premio ha un distinto rinvio nell’articolo 16-bis, comma 1-quinquies, all’articolo 83, comma 1-quinquies, del testo unico della Camera.</w:t>
      </w:r>
    </w:p>
    <w:p>
      <w:r/>
      <w:r>
        <w:rPr>
          <w:b/>
        </w:rPr>
        <w:t>Esempio osservato.</w:t>
      </w:r>
      <w:r>
        <w:t xml:space="preserve"> In un’elezione simulata, esaurite le possibilità regionali, un seggio ordinario spettante in Toscana è stato coperto dalla stessa lista in Emilia-Romagna. La frequenza è una su 1.000, pari allo 0,1%; dipende anche dalle ipotesi sulle candidature e sulle plurielezioni.</w:t>
      </w:r>
    </w:p>
    <w:p>
      <w:r/>
      <w:r>
        <w:rPr>
          <w:b/>
        </w:rPr>
        <w:t>Chiarimento richiesto.</w:t>
      </w:r>
      <w:r>
        <w:t xml:space="preserve"> Disciplinare espressamente condizioni, ordine dei rimedi e imputazione territoriale del seggio, distinguendo assegnazione iniziale, premio e vacanze successive. Il precedente Pavanelli del 2019 mostra che il problema si è già posto. L’ordinanza della Corte costituzionale n. 86 del 2020 ha dichiarato inammissibile il relativo conflitto di attribuzione, senza decidere nel merito la compatibilità del trasferimento con la base regionale del Senato.</w:t>
      </w:r>
    </w:p>
    <w:p>
      <w:r>
        <w:br w:type="page"/>
      </w:r>
    </w:p>
    <w:p>
      <w:pPr>
        <w:pStyle w:val="Heading1"/>
        <w:spacing w:before="0"/>
      </w:pPr>
      <w:r>
        <w:t>Portata dei risultati e riferimenti</w:t>
      </w:r>
    </w:p>
    <w:p>
      <w:pPr>
        <w:pStyle w:val="Heading2"/>
      </w:pPr>
      <w:r>
        <w:t>Come leggere le frequenze</w:t>
      </w:r>
    </w:p>
    <w:p>
      <w:r>
        <w:t>Le 1.000 elezioni simulate riguardano l’assegnazione iniziale dei seggi nazionali sul territorio italiano, esclusa la circoscrizione Estero. La base comprende risultati storici della Camera e del Senato, con ipotesi sulle quote di voto, sulle coalizioni e sulla presenza territoriale delle liste. Candidature e preferenze sono simulate; le dotazioni territoriali sono ricostruite sulla popolazione censuaria del 2021 e non costituiscono un decreto di assegnazione dei seggi per una futura elezione.</w:t>
      </w:r>
    </w:p>
    <w:p>
      <w:r>
        <w:t>Le frequenze si riferiscono a un unico scenario, nell’archivio dei risultati del 26 ottobre 2026. Per ciascuna situazione, un’elezione è conteggiata una sola volta anche se comprende più operazioni o entrambi i rami del Parlamento. Le percentuali non sono stime della probabilità di un problema nelle prossime elezioni. Le scelte interpretative necessarie per superare una criticità possono influenzare quelle incontrate nelle fasi successive.</w:t>
      </w:r>
    </w:p>
    <w:p>
      <w:r>
        <w:t>Il completamento delle simulazioni non prova che la disciplina sia autosufficiente: le regole integrative servono a esplorare gli effetti delle lacune, ma la loro adozione nel procedimento elettorale richiede una base giuridica adeguata. Gli esempi numerici dimostrano la possibilità delle situazioni descritte; quelli qualificati come osservati provengono dalle simulazioni. Il riferimento a una lista non implica alcuna valutazione politica.</w:t>
      </w:r>
    </w:p>
    <w:p>
      <w:pPr>
        <w:pStyle w:val="Heading2"/>
      </w:pPr>
      <w:r>
        <w:t>Intervento normativo suggerito</w:t>
      </w:r>
    </w:p>
    <w:p>
      <w:r>
        <w:t>È opportuno coordinare le disposizioni di riparto e recupero con regole residuali espresse, applicabili dopo l’esaurimento dei criteri ordinari. L’intervento dovrebbe indicare quali seggi possono essere sottratti, come assegnare quelli ancora mancanti, quale totale territoriale prevale in caso di conflitto e come risolvere le parità. Per il Senato dovrebbe rendere univoco il rapporto tra il recupero nella regione e quello in altre regioni. La verifica dovrebbe comprendere anche esempi nei quali resti e candidati disponibili si esauriscono.</w:t>
      </w:r>
    </w:p>
    <w:p>
      <w:pPr>
        <w:pStyle w:val="Heading2"/>
      </w:pPr>
      <w:r>
        <w:t>Fonti normative</w:t>
      </w:r>
    </w:p>
    <w:p>
      <w:r>
        <w:t>Tutti i riferimenti agli articoli dei due testi unici si intendono nel testo risultante dalla legge n. 180 del 2026. I riferimenti puntuali sono riportati accanto a ciascuna criticità.</w:t>
      </w:r>
    </w:p>
    <w:p>
      <w:pPr>
        <w:spacing w:after="120"/>
        <w:ind w:left="170" w:hanging="170"/>
      </w:pPr>
      <w:r>
        <w:t xml:space="preserve">• </w:t>
      </w:r>
      <w:hyperlink r:id="rId9">
        <w:r>
          <w:rPr>
            <w:color w:val="1F4E79"/>
            <w:u w:val="single"/>
          </w:rPr>
          <w:t>Legge 9 ottobre 2026 n. 180 nella pubblicazione originaria</w:t>
        </w:r>
      </w:hyperlink>
      <w:r>
        <w:t>, Gazzetta Ufficiale, Serie generale n. 235 del 9 ottobre 2026.</w:t>
      </w:r>
    </w:p>
    <w:p>
      <w:pPr>
        <w:spacing w:after="120"/>
        <w:ind w:left="170" w:hanging="170"/>
      </w:pPr>
      <w:r>
        <w:t xml:space="preserve">• </w:t>
      </w:r>
      <w:hyperlink r:id="rId10">
        <w:r>
          <w:rPr>
            <w:color w:val="1F4E79"/>
            <w:u w:val="single"/>
          </w:rPr>
          <w:t>Ripubblicazione con note del 23 ottobre 2026 per la Camera</w:t>
        </w:r>
      </w:hyperlink>
      <w:r>
        <w:t>, contenente i testi coordinati degli articoli richiamati del d.P.R. n. 361 del 1957.</w:t>
      </w:r>
    </w:p>
    <w:p>
      <w:pPr>
        <w:spacing w:after="120"/>
        <w:ind w:left="170" w:hanging="170"/>
      </w:pPr>
      <w:r>
        <w:t xml:space="preserve">• </w:t>
      </w:r>
      <w:hyperlink r:id="rId11">
        <w:r>
          <w:rPr>
            <w:color w:val="1F4E79"/>
            <w:u w:val="single"/>
          </w:rPr>
          <w:t>Ripubblicazione con note del 23 ottobre 2026 per il Senato</w:t>
        </w:r>
      </w:hyperlink>
      <w:r>
        <w:t>, contenente i testi coordinati degli articoli richiamati del d.lgs. n. 533 del 1993.</w:t>
      </w:r>
    </w:p>
    <w:p>
      <w:pPr>
        <w:spacing w:after="120"/>
        <w:ind w:left="170" w:hanging="170"/>
      </w:pPr>
      <w:r>
        <w:t xml:space="preserve">• </w:t>
      </w:r>
      <w:hyperlink r:id="rId12">
        <w:r>
          <w:rPr>
            <w:color w:val="1F4E79"/>
            <w:u w:val="single"/>
          </w:rPr>
          <w:t>Costituzione della Repubblica italiana</w:t>
        </w:r>
      </w:hyperlink>
      <w:r>
        <w:t>, articolo 57, sulla base regionale dell’elezione del Senato.</w:t>
      </w:r>
    </w:p>
    <w:p>
      <w:pPr>
        <w:spacing w:after="120"/>
        <w:ind w:left="170" w:hanging="170"/>
      </w:pPr>
      <w:r>
        <w:t xml:space="preserve">• </w:t>
      </w:r>
      <w:hyperlink r:id="rId13">
        <w:r>
          <w:rPr>
            <w:color w:val="1F4E79"/>
            <w:u w:val="single"/>
          </w:rPr>
          <w:t>Corte costituzionale ordinanza n. 86 del 2020</w:t>
        </w:r>
      </w:hyperlink>
      <w:r>
        <w:t>, per il precedente sul seggio non attribuito in Sicilia e recuperato in Umbria.</w:t>
      </w:r>
    </w:p>
    <w:p>
      <w:r>
        <w:t>Testi ufficiali consultati il 26 ottobre 2026.</w:t>
      </w:r>
    </w:p>
    <w:sectPr w:rsidR="00FC693F" w:rsidRPr="0006063C" w:rsidSect="00034616">
      <w:footerReference w:type="default" r:id="rId14"/>
      <w:pgSz w:w="11906" w:h="16838"/>
      <w:pgMar w:top="1049"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lang w:val="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azzettaufficiale.it/eli/id/2026/10/09/26G00201/sg" TargetMode="External"/><Relationship Id="rId10" Type="http://schemas.openxmlformats.org/officeDocument/2006/relationships/hyperlink" Target="https://www.gazzettaufficiale.it/atto/serie_generale/caricaArticoloDefault/originario?atto.codiceRedazionale=26A05611&amp;atto.dataPubblicazioneGazzetta=2026-10-23&amp;atto.tipoProvvedimento=LEGGE" TargetMode="External"/><Relationship Id="rId11" Type="http://schemas.openxmlformats.org/officeDocument/2006/relationships/hyperlink" Target="https://www.gazzettaufficiale.it/atto/serie_generale/caricaArticolo?art.codiceRedazionale=26A05611&amp;art.dataPubblicazioneGazzetta=2026-10-23&amp;art.flagTipoArticolo=0&amp;art.idArticolo=2&amp;art.idGruppo=0&amp;art.idSottoArticolo=1&amp;art.idSottoArticolo1=10&amp;art.progressivo=0&amp;art.versione=1" TargetMode="External"/><Relationship Id="rId12" Type="http://schemas.openxmlformats.org/officeDocument/2006/relationships/hyperlink" Target="https://www.quirinale.it/allegati_statici/costituzione/costituzione.pdf" TargetMode="External"/><Relationship Id="rId13" Type="http://schemas.openxmlformats.org/officeDocument/2006/relationships/hyperlink" Target="https://www.cortecostituzionale.it/scheda-pronuncia/2020/8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Lacune e ambiguità della riforma elettorale del 2026</dc:title>
  <dc:subject>Nota per i decisori pubblici</dc:subject>
  <dc:creator/>
  <cp:keywords>riforma elettorale, riparto dei seggi, Camera, Senato</cp:keywords>
  <dc:description>generated by python-docx</dc:description>
  <cp:lastModifiedBy/>
  <cp:revision>1</cp:revision>
  <dcterms:created xsi:type="dcterms:W3CDTF">2013-12-23T23:15:00Z</dcterms:created>
  <dcterms:modified xsi:type="dcterms:W3CDTF">2013-12-23T23:15:00Z</dcterms:modified>
  <cp:category/>
</cp:coreProperties>
</file>