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382EC" w14:textId="77777777" w:rsidR="005826E2" w:rsidRPr="005826E2" w:rsidRDefault="005826E2" w:rsidP="005826E2">
      <w:pPr>
        <w:keepNext/>
        <w:keepLines/>
        <w:pageBreakBefore/>
        <w:widowControl w:val="0"/>
        <w:spacing w:after="480" w:line="240" w:lineRule="auto"/>
        <w:jc w:val="center"/>
        <w:outlineLvl w:val="0"/>
        <w:rPr>
          <w:rFonts w:ascii="Times New Roman" w:eastAsiaTheme="majorEastAsia" w:hAnsi="Times New Roman" w:cstheme="majorBidi"/>
          <w:b/>
          <w:color w:val="000000" w:themeColor="text1"/>
          <w:sz w:val="24"/>
          <w:szCs w:val="32"/>
        </w:rPr>
      </w:pPr>
      <w:bookmarkStart w:id="0" w:name="_Toc6834461"/>
      <w:r w:rsidRPr="005826E2">
        <w:rPr>
          <w:rFonts w:ascii="Times New Roman" w:eastAsiaTheme="majorEastAsia" w:hAnsi="Times New Roman" w:cstheme="majorBidi"/>
          <w:b/>
          <w:color w:val="000000" w:themeColor="text1"/>
          <w:sz w:val="24"/>
          <w:szCs w:val="32"/>
        </w:rPr>
        <w:t>ESTIMATION OF SEDIMENT AND PHOSPHORUS CONTRIBUTION FROM ERODING BANKS WITHIN THE NISHNABOTNA WATERSHED</w:t>
      </w:r>
      <w:bookmarkEnd w:id="0"/>
    </w:p>
    <w:p w14:paraId="4A727A91"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1" w:name="_Toc6834462"/>
      <w:r w:rsidRPr="005826E2">
        <w:rPr>
          <w:rFonts w:ascii="Times New Roman" w:eastAsiaTheme="majorEastAsia" w:hAnsi="Times New Roman" w:cstheme="majorBidi"/>
          <w:b/>
          <w:color w:val="000000" w:themeColor="text1"/>
          <w:sz w:val="24"/>
          <w:szCs w:val="26"/>
        </w:rPr>
        <w:t>Abstract</w:t>
      </w:r>
      <w:bookmarkEnd w:id="1"/>
    </w:p>
    <w:p w14:paraId="24D4D68F"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Excess sediment and phosphorus (P) contributions from eroding banks are a significant impairment to aquatic systems that lead to loss of habitat, sedimentation of reservoirs, and eutrophic waters. Many studies have focused on constraining these fluxes within small </w:t>
      </w:r>
      <w:proofErr w:type="gramStart"/>
      <w:r w:rsidRPr="005826E2">
        <w:rPr>
          <w:rFonts w:ascii="Times New Roman" w:hAnsi="Times New Roman"/>
          <w:color w:val="000000" w:themeColor="text1"/>
          <w:sz w:val="24"/>
        </w:rPr>
        <w:t>watersheds, and</w:t>
      </w:r>
      <w:proofErr w:type="gramEnd"/>
      <w:r w:rsidRPr="005826E2">
        <w:rPr>
          <w:rFonts w:ascii="Times New Roman" w:hAnsi="Times New Roman"/>
          <w:color w:val="000000" w:themeColor="text1"/>
          <w:sz w:val="24"/>
        </w:rPr>
        <w:t xml:space="preserve"> estimating these fluxes within larger watersheds has remained difficult due to the inability to scale previous methods and the heterogeneous nature of bank erosion. Recent advances in remote sensing and GIS technology, as well as the development of the Aerial Image Migration Model (AIMM) provide us with an effective method for estimating bank erosion on large scales. In this study, the AIMM model was used in conjunction with 18 alluvial sediment cores to estimate the contribution of channel migration to the sediment and P budget of the Nishnabotna River in SW Iowa. On average, we found that between the years of 2009 and 2018 there was a net input of 8.7x10</w:t>
      </w:r>
      <w:r w:rsidRPr="005826E2">
        <w:rPr>
          <w:rFonts w:ascii="Times New Roman" w:hAnsi="Times New Roman"/>
          <w:color w:val="000000" w:themeColor="text1"/>
          <w:sz w:val="24"/>
          <w:vertAlign w:val="superscript"/>
        </w:rPr>
        <w:t>8</w:t>
      </w:r>
      <w:r w:rsidRPr="005826E2">
        <w:rPr>
          <w:rFonts w:ascii="Times New Roman" w:hAnsi="Times New Roman"/>
          <w:color w:val="000000" w:themeColor="text1"/>
          <w:sz w:val="24"/>
        </w:rPr>
        <w:t xml:space="preserve"> kg of sediment and 4.1x10</w:t>
      </w:r>
      <w:r w:rsidRPr="005826E2">
        <w:rPr>
          <w:rFonts w:ascii="Times New Roman" w:hAnsi="Times New Roman"/>
          <w:color w:val="000000" w:themeColor="text1"/>
          <w:sz w:val="24"/>
          <w:vertAlign w:val="superscript"/>
        </w:rPr>
        <w:t>5</w:t>
      </w:r>
      <w:r w:rsidRPr="005826E2">
        <w:rPr>
          <w:rFonts w:ascii="Times New Roman" w:hAnsi="Times New Roman"/>
          <w:color w:val="000000" w:themeColor="text1"/>
          <w:sz w:val="24"/>
        </w:rPr>
        <w:t xml:space="preserve"> kg of P sourced from channel migration per year within the Nishnabotna watershed. This equates to 380 kg of sediment and 0.18 kg of total P per meter of channel length analyzed. Our volume results also indicate that the proportional contribution to net volume loss by stream order increases sharply from third to sixth order, even though total channel length within the watershed displays the opposite trend. These results suggest that within the stream orders studied, large orders contribute more sediment and P than lower order reaches. This result suggests that future conservation and research that attempts to decrease riparian contributions to sediment and P budgets should focus on larger reaches than are currently considered.</w:t>
      </w:r>
    </w:p>
    <w:p w14:paraId="1437E32D"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2" w:name="_Toc6834463"/>
      <w:r w:rsidRPr="005826E2">
        <w:rPr>
          <w:rFonts w:ascii="Times New Roman" w:eastAsiaTheme="majorEastAsia" w:hAnsi="Times New Roman" w:cstheme="majorBidi"/>
          <w:b/>
          <w:color w:val="000000" w:themeColor="text1"/>
          <w:sz w:val="24"/>
          <w:szCs w:val="26"/>
        </w:rPr>
        <w:lastRenderedPageBreak/>
        <w:t>Introduction</w:t>
      </w:r>
      <w:bookmarkEnd w:id="2"/>
    </w:p>
    <w:p w14:paraId="3F12E3CE" w14:textId="261AB998"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Excess sediment in rivers and streams is a major biological impairment that also decreases water clarity and increases the cost of water treatment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{"citationItems":[{"id":"ITEM-1","itemData":{"DOI":"10.2489/jswc.63.6.523","ISSN":"1941-3300","abstract":"A technique using the relationship between the naturally occurring radionuclide tracers, Be-7 and Pb-210(xs), was used to differentiate eroded surface soils and channel-derived sediments in the fine suspended sediment loads of runoff events in five Conservation Effects Assessment Project watersheds. A simple two end-member mixing model was used to determine the relative contribution from each Source. Results Suggest that eroded surface soils were more prevalent in the Suspended load early in a runoff event, but channel contributions dominated the suspended load at later stages. The method proved useful for multiple sites due to a constant proportion of the atmospheric deliveries of the two radionuclides globally. Use of only two radionuclide tracers simplifies the differentiation of sediment sources within a watershed but limits precision.","author":[{"dropping-particle":"","family":"Bosch","given":"D.D.","non-dropping-particle":"","parse-names":false,"suffix":""},{"dropping-particle":"","family":"Kuhnle","given":"R.A.","non-dropping-particle":"","parse-names":false,"suffix":""},{"dropping-particle":"","family":"Steiner","given":"J.L.","non-dropping-particle":"","parse-names":false,"suffix":""},{"dropping-particle":"","family":"Wilson","given":"G.V.","non-dropping-particle":"","parse-names":false,"suffix":""},{"dropping-particle":"","family":"Starks","given":"P.J.","non-dropping-particle":"","parse-names":false,"suffix":""},{"dropping-particle":"","family":"Tomer","given":"M.D.","non-dropping-particle":"","parse-names":false,"suffix":""},{"dropping-particle":"","family":"Wilson","given":"C.G.","non-dropping-particle":"","parse-names":false,"suffix":""}],"container-title":"Journal of Soil and Water Conservation","id":"ITEM-1","issue":"6","issued":{"date-parts":[["2008","11","1"]]},"page":"523-532","publisher":"Soil and Water Conservation Society","title":"Quantifying relative contributions from sediment sources in Conservation Effects Assessment Project watersheds","type":"article-journal","volume":"63"},"uris":["http://www.mendeley.com/documents/?uuid=4f0d3dad-6f88-37ab-8af5-8edf8fa114ee"]},{"id":"ITEM-2","itemData":{"DOI":"10.1016/j.jenvman.2016.06.071","ISBN":"9783319212449","ISSN":"10958630","PMID":"27429360","abstract":"Sediment and phosphorus (P) are two primary pollutants of surface waters. Many studies have investigated loadings from upland sources or even streambed sediment, but in many cases, limited to no data exist to determine sediment and P loading from streambanks on a watershed scale. The objectives of this paper are to review the current knowledge base on streambank erosion and failure mechanisms, streambank P concentrations, and streambanks as P loading sources and then also to identify future research needs on this topic. In many watersheds, long-term loading of soil and associated P to stream systems has created a source of eroded soil and P that may interact with streambank sediment and be deposited in floodplains downstream. In many cases streambanks were formed from previously eroded and deposited alluvial material and so the resulting soils possess unique physical and chemical properties from adjacent upland soils. Streambank sediment and P loading rates depend explicitly on the rate of streambank migration and the concentration of P stored within bank materials. From the survey of literature, previous studies report streambank total P concentrations that consistently exceeded 250 mg kg−1 soil. Only a few studies also reported water soluble or extractable P concentrations. More research should be devoted to understanding the dynamic processes between different P pools (total P versus bioavailable P), and sorption or desorption processes under varying hydraulic and stream chemistry conditions. Furthermore, the literature reported that streambank erosion and failure and gully erosion were reported to account for 7–92% of the suspended sediment load within a channel and 6–93% of total P. However, significant uncertainty can occur in such estimates due to reach-scale variability in streambank migration rates and future estimates should consider the use of uncertainty analysis approaches. Research is also needed on the transport rates of dissolved and sediment-bound P through the entire stream system of a watershed to identify critical upland and/or near-stream conservation practices. Extensive monitoring of the impact of restoration/rehabilitation efforts on reducing sediment and P loading are limited. From an application standpoint, streambank P contributions to streams should be more explicitly accounted for in developing total maximum daily loads in watersheds.","author":[{"dropping-particle":"","family":"Fox","given":"Garey A.","non-dropping-particle":"","parse-names":false,"suffix":""},{"dropping-particle":"","family":"Purvis","given":"Rebecca A.","non-dropping-particle":"","parse-names":false,"suffix":""},{"dropping-particle":"","family":"Penn","given":"Chad J.","non-dropping-particle":"","parse-names":false,"suffix":""}],"container-title":"Journal of Environmental Management","id":"ITEM-2","issued":{"date-parts":[["2016","10","1"]]},"page":"602-614","publisher":"Academic Press","title":"Streambanks: A net source of sediment and phosphorus to streams and rivers","type":"article","volume":"181"},"uris":["http://www.mendeley.com/documents/?uuid=9e90193d-5acd-3fdd-84f2-a527df326ee8"]},{"id":"ITEM-3","itemData":{"DOI":"10.1002/esp.3901","ISSN":"10969837","abstract":"Streambank erosion is a pathway for sediment and nutrient loading to streams, but insufficient data exist on the magnitude of this source. Riparian protection can significantly decrease streambank erosion in some locations, but estimates of actual sediment load reductions are limited. The objective of this research was to quantify watershed-scale streambank erosion and estimate the benefits of riparian protection. The research focused on Spavinaw Creek within the Eucha-Spavinaw watershed in eastern Oklahoma, where composite streambanks consist of a small cohesive topsoil layer underlain by non-cohesive gravel. Fine sediment erosion from 2003 to 2013 was derived using aerial photography and processed in ArcMap to quantify eroded area. ArcMap was also utilized in determining the bank retreat rate at various locations in relation to the riparian vegetation buffer width. Box and whisker plots clearly showed that sites with riparian vegetation had on average three times less bank retreat than unprotected banks, statistically significant based on non-parametric t-tests. The total soil mass eroded from 2003 to 2013 was estimated at 7.27 × 107 kg yr.−1, and the average bank retreat was 2.5 m yr.−1. Many current erosion models assume that fluvial erosion is the dominant stream erosion process. Bank retreat was positively correlated with stream discharge and/or stream power, but with considerable variability, suggesting that mass wasting plays an important role in streambank erosion within this watershed. Finally, watershed monitoring programs commonly characterize erosion at only a few sites and may scale results to the entire watershed. Selection of random sites and scaling to the watershed scale greatly underestimated the actual erosion and loading rates. Copyright © 2016 John Wiley &amp; Sons, Ltd.","author":[{"dropping-particle":"","family":"Purvis","given":"Rebecca A.","non-dropping-particle":"","parse-names":false,"suffix":""},{"dropping-particle":"","family":"Fox","given":"Garey A.","non-dropping-particle":"","parse-names":false,"suffix":""}],"container-title":"Earth Surface Processes and Landforms","id":"ITEM-3","issue":"10","issued":{"date-parts":[["2016"]]},"note":"NULL","page":"1327-1336","title":"Streambank sediment loading rates at the watershed scale and the benefit of riparian protection","type":"article-journal","volume":"41"},"uris":["http://www.mendeley.com/documents/?uuid=4895abb1-79d5-46ff-b9a9-75786c94ab75"]},{"id":"ITEM-4","itemData":{"DOI":"10.2489/jswc.63.6.504","abstract":"Sediment is one of the principal pollutants of surface waters of the United States. Efforts by the USDA to quantify and control sediment erosion have historically focused on fields and upland areas. There is a growing body of evidence in agricultural areas, however, that the locus of sediment erosion has shifted from fields and uplands to channels. This is a critical issue in the Conservation Effects Assessment Project that evaluates the effectiveness of controls on sediment erosion. Rapid geomorphic assessments indicate that channel contribu- tions are significant sources of sediment in the studied watersheds. The relative importance of channel processes are obtained by comparing “reference” yields for the ecoregion with the respective watershed yields. Annual suspended sediment yields for the Conservation Effects Assessment Project watersheds exceed the median value for stable streams by 225% in Iowa, 290% in New York, 630% in Mississippi, and between 2,120% and 3,350% in Oklahoma. Erosion from streambanks is an important process that must be addressed in management strategies aimed at controlling sediment production and delivery.","author":[{"dropping-particle":"","family":"Simon","given":"A","non-dropping-particle":"","parse-names":false,"suffix":""},{"dropping-particle":"","family":"Klimetz","given":"L.","non-dropping-particle":"","parse-names":false,"suffix":""}],"container-title":"Journal of Soil and Water Conservation","id":"ITEM-4","issue":"6","issued":{"date-parts":[["2008"]]},"page":"504-522","title":"Relative magnitudes and sources of sediment in benchmark watersheds of the Conservation Effects Assessment Project","type":"article-journal","volume":"63"},"uris":["http://www.mendeley.com/documents/?uuid=7e0a2bea-cd33-38d8-90d8-a6f34cd85dc8"]}],"mendeley":{"formattedCitation":"(Bosch et al., 2008; Fox, Purvis, &amp; Penn, 2016b; Purvis &amp; Fox, 2016; A Simon &amp; Klimetz, 2008)","plainTextFormattedCitation":"(Bosch et al., 2008; Fox, Purvis, &amp; Penn, 2016b; Purvis &amp; Fox, 2016; A Simon &amp; Klimetz, 2008)","previouslyFormattedCitation":"(Bosch et al., 2008; Fox et al., 2016b; Purvis and Fox, 2016; Simon and Klimetz, 2008)"},"properties":{"noteIndex":0},"schema":"https://github.com/citation-style-language/schema/raw/master/csl-citation.json"}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(Bosch et al., 2008; Fox, Purvis, &amp; Penn, 2016b; Purvis &amp; Fox, 2016; A Simon &amp; Klimetz, 2008)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Additionally, excess sedimentation can lead to embedding of coarse substrate, the consequent loss of habitat for riverine invertebrates, and accelerated filling of reservoirs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{"citationItems":[{"id":"ITEM-1","itemData":{"DOI":"10.1002/aqc.2436","ISSN":"10990755","abstract":"* The use of non-lethal experiments to elucidate behavioural and physiological thresholds to environmental stressors can provide valuable data for identifying threats to, and critical habitat of, imperilled species. Increased turbidity contributes to population declines and loss of fish diversity globally, but the complex direct and indirect effects of this stressor on imperilled species are not well understood. * Response to turbidity was examined in a group of closely related North American fishes (Notropis spp.), including four imperilled shiners: pugnose shiner (N. anogenus), bridle shiner (N. bifrenatus), blacknose shiner (N. heterolepis), blackchin shiner (N. heterodon), and the more common mimic shiner (N. volucellus). Two experiments quantified (i) the behavioural response of each species to progressively increasing turbidity, and (ii) critical swimming speed of fishes acclimated in turbid- and clear-water treatments to provide insights into effects of low turbidity on aerobic performance. * Very low levels of turbidity (&lt;10 NTU) altered schooling behaviour of pugnose and bridle shiners, both imperilled. Critical swimming speed was lower in pugnose shiner acclimated to low turbidity than fish acclimated to clear waters, while the opposite pattern was observed in bridle shiner. Low turbidity did not affect behaviour or critical swimming speed in the other three shiner species, suggesting that they are more tolerant of low levels of turbidity. * The demonstration of alterations in ecologically significant measures of behaviour and performance in the pugnose and bridle shiners, provides evidence required to identify and implement conservation and recovery actions related to turbidity of human origin. In addition, it is suggested that species-specific responses should be evaluated, where possible, when defining critical habitat. Copyright © 2014 John Wiley &amp; Sons, Ltd.","author":[{"dropping-particle":"","family":"Gray","given":"Suzanne M.","non-dropping-particle":"","parse-names":false,"suffix":""},{"dropping-particle":"","family":"Bieber","given":"F. Matthias E.","non-dropping-particle":"","parse-names":false,"suffix":""},{"dropping-particle":"","family":"Mcdonnell","given":"laura H.","non-dropping-particle":"","parse-names":false,"suffix":""},{"dropping-particle":"","family":"Chapman","given":"lauren J.","non-dropping-particle":"","parse-names":false,"suffix":""},{"dropping-particle":"","family":"Mandrak","given":"Nicholas E.","non-dropping-particle":"","parse-names":false,"suffix":""}],"container-title":"Aquatic Conservation: Marine and Freshwater Ecosystems","id":"ITEM-1","issue":"4","issued":{"date-parts":[["2014"]]},"page":"546-560","title":"Experimental evidence for species-specific response to turbidity in imperilled fishes","type":"article-journal","volume":"24"},"uris":["http://www.mendeley.com/documents/?uuid=c6f94ca6-3303-35da-88f2-34f29fdc5a29"]},{"id":"ITEM-2","itemData":{"DOI":"10.1007/s00267-014-0309-8","ISSN":"14321009","abstract":"Fish and benthic macroinvertebrate assemblages often provide insight on ecological conditions for guiding management actions. Unfortunately, land use and management legacies can constrain the structure of biotic communities such that they fail to reflect habitat quality. The purpose of this study was to describe patterns in fish and benthic macroinvertebrate assemblage structure, and evaluate relationships between biota and habitat characteristics in the Chariton River system of south-central Iowa, a system likely influenced by various potential management legacies (e.g., dams, chemical removal of fishes). We sampled fishes, benthic macroinvertebrates, and physical habitat from a total of 38 stream reaches in the Chariton River watershed during 2002-2005. Fish and benthic macroinvertebrate assemblages were dominated by generalist species tolerant of poor habitat quality; assemblages failed to show any apparent patterns with regard to stream size or longitudinal location within the watershed. Metrics used to summarize fish assemblages and populations [e.g., presence-absence, relative abundance, Index of Biotic Integrity for fish (IBIF)] were not related to habitat characteristics, except that catch rates of piscivores were positively related to the depth and the amount of large wood. In contrast, family richness of benthic macroinvertebrates, richness of Ephemeroptera, Trichoptera, and Plecoptera taxa, and IBI values for benthic macroinvertebrates (IBIBM) were positively correlated with the amount of overhanging vegetation and inversely related to the percentage of fine substrate. A long history of habitat alteration by row-crop agriculture and management legacies associated with reservoir construction has likely resulted in a fish assemblage dominated by tolerant species. Intolerant and sensitive fish species have not recolonized streams due to downstream movement barriers (i.e., dams). In contrast, aquatic insect assemblages reflected aquatic habitat, particularly the amount of overhanging vegetation and fine sediment. This research illustrates the importance of using multiple taxa for biological assessments and the need to consider management legacies when investigating responses to management and conservation actions.","author":[{"dropping-particle":"","family":"Quist","given":"Michael C.","non-dropping-particle":"","parse-names":false,"suffix":""},{"dropping-particle":"","family":"Schultz","given":"Randall D.","non-dropping-particle":"","parse-names":false,"suffix":""}],"container-title":"Environmental Management","id":"ITEM-2","issue":"3","issued":{"date-parts":[["2014","9","1"]]},"page":"449-464","title":"Effects of management legacies on stream fish and aquatic benthic macroinvertebrate assemblages","type":"article-journal","volume":"54"},"uris":["http://www.mendeley.com/documents/?uuid=218aa11d-48d3-3faf-a916-586e85338b92"]}],"mendeley":{"formattedCitation":"(Gray, Bieber, Mcdonnell, Chapman, &amp; Mandrak, 2014; Quist &amp; Schultz, 2014)","plainTextFormattedCitation":"(Gray, Bieber, Mcdonnell, Chapman, &amp; Mandrak, 2014; Quist &amp; Schultz, 2014)","previouslyFormattedCitation":"(Gray et al., 2014; Quist and Schultz, 2014)"},"properties":{"noteIndex":0},"schema":"https://github.com/citation-style-language/schema/raw/master/csl-citation.json"}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(Gray, Bieber, Mcdonnell, Chapman, &amp; Mandrak, 2014; Quist &amp; Schultz, 2014)</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Sediment also carries adsorbed pollutants, such as Phosphorus (P), which is a limiting nutrient within freshwater systems for the cyanobacteria that contribute to harmful algal blooms and the creation of coastal hypoxic zones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{"citationItems":[{"id":"ITEM-1","itemData":{"DOI":"10.1126/science.1167755","ISBN":"2006042718","ISSN":"0036-8075","PMID":"19229022","abstract":"The need to reduce anthropogenic nutri- ent inputs to aquatic ecosystems in order to protect drinking-water sup- plies and to reduce eutrophication, including T the proliferation of harmful algal blooms (1) and “dead zones” in coastal marine eco- systems (2) has been widely recognized. However, the costs of doing this are substan- tial; hence, developing the appropriate nutri- ent management strategy is very important. Nitrogen (N), needed for protein synthesis, and phosphorus (P), needed for DNA, RNA, and energy transfer, are both required to sup- port aquatic plant growth and are the key lim- iting nutrients in most aquatic and terrestrial ecosystems","author":[{"dropping-particle":"","family":"Conley, Daniel","given":"J","non-dropping-particle":"","parse-names":false,"suffix":""},{"dropping-particle":"","family":"Paerl","given":"Hans W.","non-dropping-particle":"","parse-names":false,"suffix":""},{"dropping-particle":"","family":"Howart, Robert","given":"W.","non-dropping-particle":"","parse-names":false,"suffix":""},{"dropping-particle":"","family":"Boesch, Donald","given":"F.","non-dropping-particle":"","parse-names":false,"suffix":""},{"dropping-particle":"","family":"Seitzinger, Sybil","given":"P.","non-dropping-particle":"","parse-names":false,"suffix":""},{"dropping-particle":"","family":"Havens, Karl","given":"E.","non-dropping-particle":"","parse-names":false,"suffix":""},{"dropping-particle":"","family":"Lancelot, Christiane, Likens, Gene","given":"E.","non-dropping-particle":"","parse-names":false,"suffix":""}],"container-title":"Science","id":"ITEM-1","issued":{"date-parts":[["2009"]]},"page":"1014-1015","title":"Controlling Eutrophication: Nitrogen and Phosphorus","type":"article-journal","volume":"323"},"uris":["http://www.mendeley.com/documents/?uuid=d0b84a54-6db7-3012-a6f3-fc99ad593e5b"]},{"id":"ITEM-2","itemData":{"DOI":"10.2134/jeq1998.00472425002700020004x","ISBN":"0047-2425","ISSN":"00472425","PMID":"27","abstract":"Phosphorus (P) is an essential element for all life forms. It is a mineral nutrient. Orthophosphate is the only form of P that autotrophs can assimilate. Extracellular enzymes hydrolyze organic forms of P to phosphate. Eutrophication is the overenrichment of receiving wa- 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release of many materials normally bound to bottom sediments including various forms of P. This release of P reinforces the eutrophication. Excessive concentra- tions of P is the most common cause of eutrophication in freshwater lakes, reservoirs, streams, and headwaters of estuarine systems. In the ocean, N becomes the key mineral nutrient controlling primary production. Estuaries and continental shelf waters are a transition zone, where excessive P and N create problems. It is best to measure and regulate total P inputs to whole aquatic ecosystems, but for an easy assay it is best to measure total P concentrations, including paniculate P, in surface waters or N/P atomic ratios in phytoplankton.","author":[{"dropping-particle":"","family":"Correll","given":"D L","non-dropping-particle":"","parse-names":false,"suffix":""}],"container-title":"Journal of Environment Quality","id":"ITEM-2","issue":"2","issued":{"date-parts":[["1998"]]},"page":"261-266","title":"(1998) Role of Phosphorus in the Eutrophication of Receiving Waters: A Review, The","type":"article-journal","volume":"27"},"uris":["http://www.mendeley.com/documents/?uuid=0e91fe9f-4b5a-34d8-a13e-2a2c74b03919"]},{"id":"ITEM-3","itemData":{"DOI":"10.5268/IW-6.2.909","ISSN":"20442041","author":[{"dropping-particle":"","family":"Dodds","given":"Walter","non-dropping-particle":"","parse-names":false,"suffix":""},{"dropping-particle":"","family":"Smith","given":"Val","non-dropping-particle":"","parse-names":false,"suffix":""}],"container-title":"Inland Waters","id":"ITEM-3","issue":"2","issued":{"date-parts":[["2016","4","1"]]},"page":"155-164","title":"Nitrogen, phosphorus, and eutrophication in streams","type":"article-journal","volume":"6"},"uris":["http://www.mendeley.com/documents/?uuid=12853423-b40a-33c4-999a-700050c50ff9"]}],"mendeley":{"formattedCitation":"(Conley, Daniel et al., 2009; Correll, 1998; Dodds &amp; Smith, 2016)","plainTextFormattedCitation":"(Conley, Daniel et al., 2009; Correll, 1998; Dodds &amp; Smith, 2016)","previouslyFormattedCitation":"(Conley et al., 2009; Correll, 1998; Dodds and Smith, 2016)"},"properties":{"noteIndex":0},"schema":"https://github.com/citation-style-language/schema/raw/master/csl-citation.json"}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(Conley, Daniel et al., 2009; Correll, 1998; Dodds &amp; Smith, 2016)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w:t>
      </w:r>
    </w:p>
    <w:p w14:paraId="52BA20FD" w14:textId="34E0BCF8"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These issues are particularly critical within the Midwestern region of the continental United States, where patterns of land use change related to production agriculture have led to increases in sediment and P flux to receiving waters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{"citationItems":[{"id":"ITEM-1","itemData":{"DOI":"10.1002/hyp.9738","ISBN":"1099-1085","ISSN":"08856087","PMID":"264460600012","abstract":"Rivers in watersheds dominated by agriculture throughout the US are impaired by excess sediment, a signi!cant portion of which comes from non-!eld, near-channel sources. Both land-use and climate have been implicated in altering river \"ows and thereby increasing stream-channel erosion and sediment loading. In the wetland-rich landscapes of the upper Mississippi basin, 20th century crop conversions have led to an intensi!cation of arti!cial drainage, which is now a critical component of modern agriculture. At the same time, much of the region has experienced increased annual rainfall. Uncertainty in separating these drivers of stream\"ow fuels debate between agricultural and environmental interests on responsibility and solutions for excess riverine sediment. To disentangle the effects of climate and land-use, we compared changes in precipitation, crop conversions, and extent of drained depressional area in 21 Minnesota watersheds over the past 70 years. Watersheds with large land-use changes had increases in seasonal and annual water yields of &gt;50% since 1940. On average, changes in precipitation and crop evapotranspiration explained less than one-half of the increase, with the remainder highly correlated with arti!cial drainage and loss of depressional areas. Rivers with increased \"ow have experienced channel widening of 10–40% highlighting a source of sediment seldom addressed by agricultural best management practices. Copyright © 2013 John Wiley &amp; Sons, Ltd.","author":[{"dropping-particle":"","family":"Schottler","given":"Shawn P.","non-dropping-particle":"","parse-names":false,"suffix":""},{"dropping-particle":"","family":"Ulrich","given":"Jason","non-dropping-particle":"","parse-names":false,"suffix":""},{"dropping-particle":"","family":"Belmont","given":"Patrick","non-dropping-particle":"","parse-names":false,"suffix":""},{"dropping-particle":"","family":"Moore","given":"Richard","non-dropping-particle":"","parse-names":false,"suffix":""},{"dropping-particle":"","family":"Lauer","given":"J. Wesley","non-dropping-particle":"","parse-names":false,"suffix":""},{"dropping-particle":"","family":"Engstrom","given":"Daniel R.","non-dropping-particle":"","parse-names":false,"suffix":""},{"dropping-particle":"","family":"Almendinger","given":"James E.","non-dropping-particle":"","parse-names":false,"suffix":""}],"container-title":"Hydrological Processes","id":"ITEM-1","issue":"4","issued":{"date-parts":[["2014"]]},"note":"NULL","page":"1951-1961","title":"Twentieth century agricultural drainage creates more erosive rivers","type":"article-journal","volume":"28"},"uris":["http://www.mendeley.com/documents/?uuid=08348fb1-e17b-406a-9461-965c6a8f61f0"]},{"id":"ITEM-2","itemData":{"DOI":"10.1016/j.geomorph.2006.06.037","ISSN":"0169555X","author":[{"dropping-particle":"","family":"Simon","given":"Andrew","non-dropping-particle":"","parse-names":false,"suffix":""},{"dropping-particle":"","family":"Rinaldi","given":"Massimo","non-dropping-particle":"","parse-names":false,"suffix":""}],"container-title":"Geomorphology","id":"ITEM-2","issue":"3-4","issued":{"date-parts":[["2006"]]},"note":"NULL","page":"361-383","title":"Disturbance, stream incision, and channel evolution: The roles of excess transport capacity and boundary materials in controlling channel response","type":"article-journal","volume":"79"},"uris":["http://www.mendeley.com/documents/?uuid=bbff6a56-e9de-490b-a4b4-37123ab8b23b"]}],"mendeley":{"formattedCitation":"(Schottler et al., 2014; Andrew Simon &amp; Rinaldi, 2006)","plainTextFormattedCitation":"(Schottler et al., 2014; Andrew Simon &amp; Rinaldi, 2006)","previouslyFormattedCitation":"(Schottler et al., 2014; Simon and Rinaldi, 2006)"},"properties":{"noteIndex":0},"schema":"https://github.com/citation-style-language/schema/raw/master/csl-citation.json"}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(Schottler et al., 2014; Andrew Simon &amp; Rinaldi, 2006)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It has been shown that the Midwestern states are a major contributor to the hypoxic zone within the Gulf of Mexico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{"citationItems":[{"id":"ITEM-1","itemData":{"DOI":"10.2307/2641247","ISSN":"10510761","abstract":"Agriculture and urban activities are major sources of phosphorus and nitro- gen to aquatic ecosystems. Atmospheric deposition further contributes as a source of N. These nonpoint inputs of nutrients are difficult to measure and regulate because they derive from activities dispersed over wide areas of land and are variable in time due to effects of weather. In aquatic ecosystems, these nutrients cause diverse problems such as toxic algal blooms, loss of oxygen, fish kills, loss of biodiversity (including species important for commerce and recreation), loss of aquatic plant beds and coral reefs, and other problems. Nutrient enrichment seriously degrades aquatic ecosystems and impairs the use of water for drinking, industry, agriculture, recreation, and other purposes. Based on our review of the scientific literature, we are certain that (1) eutrophication is a widespread problem in rivers, lakes, estuaries, and coastal oceans, caused by over- enrichment with P and N; (2) nonpoint pollution, a major source of P and N to surface waters of the United States, results primarily from agriculture and urban activity, including industry; (3) inputs of P and N to agriculture in the form of fertilizers exceed outputs in produce in the United States and many other nations; (4) nutrient flows to aquatic ecosystems are directly related to animal stocking densities, and under high livestock densities, manure production exceeds the needs of crops to which the manure is applied; (5) excess fertilization and manure production cause a P surplus to accumulate in soil, some of which is transported to aquatic ecosystems; and (6) excess fertilization and manure production on agricultural lands create surplus N, which is mobile in many soils and often leaches to downstream aquatic ecosystems, and which can also volatilize to the atmosphere, redepositing elsewhere and eventually reaching aquatic ecosystems. If current practices continue, nonpoint pollution of surface waters is virtually certain to increase in the future. Such an outcome is not inevitable, however, because a number of technologies, land use practices, and conservation measures are capable of decreasing the flow of nonpoint P and N into surface waters. From our review of the available scientific information, we are confident that: (1) nonpoint pollution of surface waters with P and N could be reduced by reducing surplus nutrient flows in agricultural systems and processes, reducing agricultural and urban runoff by …","author":[{"dropping-particle":"","family":"Carpenter","given":"S. R.","non-dropping-particle":"","parse-names":false,"suffix":""},{"dropping-particle":"","family":"Smith","given":"V. H.","non-dropping-particle":"","parse-names":false,"suffix":""},{"dropping-particle":"","family":"Correll","given":"D. L.","non-dropping-particle":"","parse-names":false,"suffix":""},{"dropping-particle":"","family":"Caraco","given":"N. F.","non-dropping-particle":"","parse-names":false,"suffix":""},{"dropping-particle":"","family":"Howarth","given":"R. W.","non-dropping-particle":"","parse-names":false,"suffix":""},{"dropping-particle":"","family":"Sharpley","given":"A. N.","non-dropping-particle":"","parse-names":false,"suffix":""}],"container-title":"Ecological Applications","id":"ITEM-1","issue":"3","issued":{"date-parts":[["2006","8","1"]]},"page":"559","publisher":"John Wiley &amp; Sons, Ltd","title":"Nonpoint Pollution of Surface Waters with Phosphorus and Nitrogen","type":"article-journal","volume":"8"},"uris":["http://www.mendeley.com/documents/?uuid=747c2421-ee53-3a54-94b7-37c4e3a95716"]}],"mendeley":{"formattedCitation":"(Carpenter et al., 2006)","plainTextFormattedCitation":"(Carpenter et al., 2006)","previouslyFormattedCitation":"(Carpenter et al., 1998)"},"properties":{"noteIndex":0},"schema":"https://github.com/citation-style-language/schema/raw/master/csl-citation.json"}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(Carpenter et al., 2006)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In order to address these issues, many states have adopted nutrient reduction strategies that seek to reduce Nitrogen (N), sediment and P loading from their watersheds. In order accomplish this </w:t>
      </w:r>
      <w:proofErr w:type="gramStart"/>
      <w:r w:rsidRPr="005826E2">
        <w:rPr>
          <w:rFonts w:ascii="Times New Roman" w:hAnsi="Times New Roman"/>
          <w:color w:val="000000" w:themeColor="text1"/>
          <w:sz w:val="24"/>
        </w:rPr>
        <w:t>goal however;</w:t>
      </w:r>
      <w:proofErr w:type="gramEnd"/>
      <w:r w:rsidRPr="005826E2">
        <w:rPr>
          <w:rFonts w:ascii="Times New Roman" w:hAnsi="Times New Roman"/>
          <w:color w:val="000000" w:themeColor="text1"/>
          <w:sz w:val="24"/>
        </w:rPr>
        <w:t xml:space="preserve"> it is important to fully understand the sources of sediment and P within watersheds.</w:t>
      </w:r>
    </w:p>
    <w:p w14:paraId="49906ADE" w14:textId="56B894A3"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An ever-expanding body of research suggests that bank erosion represents a significant source of sediment and P. Within the Midwestern United States, several studies have documented eroding bank contributions to annual sediment loads of 25–60%, and up to 80–96%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{"citationItems":[{"id":"ITEM-1","itemData":{"DOI":"10.1016/j.rse.2005.01.012","ISBN":"0034-4257","ISSN":"00344257","PMID":"23055120","abstract":"Worldwide, rivers and streams are negatively impacted by sedimentation. However, there are few broad scale techniques for quantifying the sources of sediment, i.e. upland vs. river bank erosion. This research was designed to evaluate the use of airborne LIDAR for characterizing sediment and phosphorus contributions from river bank erosion. The evaluation was done on the main stem of the Blue Earth River in southern Minnesota. Detailed topographic data were collected on an annual basis in April 2001 and 2002 over a 56 km length of the river with a helicopter mounted Topeye laser system. The raw database included X, Y, Z coordinates of laser returns sampled from the river valley with a density of 1-3.3 elevations per m2. Uniform 1 m bare earth digital elevation models were constructed by stripping vegetation laser returns and interpolation. The two models were differenced to determine volume change over time, which was then converted to mass wasting by multiplying volume change with bulk density. Mass wasting rates were further converted to sediment load based on percentage of transportable material in the bank strata. The average difference between LIDAR measured elevations and RTK GPS surveyed elevations on 5 highway bridge surfaces was 2.5 and 8.8 cm for the 2001 and 2002 scans, respectively. The elevation errors were quasi-normally distributed with standard deviation of 6.7 and 6.1 cm for 2001 and 2002, respectively. No elevation or planimetric corrections were made to the laser data before calculating mass wasting rates because it was not possible to determine the source of error or if it was uniform within and between scans. The mass wasting estimate from the LIDAR surveys varied from 23% to 56% of the sediment mass transported past the downstream gauging station depending on the range of textural material that was entrained once in the river. These estimates are in the range of values reported in the literature. Total P contribution due to bank erosion from the river reach was estimated to be 201 t/yr. © 2005 Elsevier Inc. All rights reserved.","author":[{"dropping-particle":"","family":"Thoma","given":"David P.","non-dropping-particle":"","parse-names":false,"suffix":""},{"dropping-particle":"","family":"Gupta","given":"Satish C.","non-dropping-particle":"","parse-names":false,"suffix":""},{"dropping-particle":"","family":"Bauer","given":"Marvin E.","non-dropping-particle":"","parse-names":false,"suffix":""},{"dropping-particle":"","family":"Kirchoff","given":"C. E.","non-dropping-particle":"","parse-names":false,"suffix":""}],"container-title":"Remote Sensing of Environment","id":"ITEM-1","issue":"4","issued":{"date-parts":[["2005"]]},"page":"493-501","title":"Airborne laser scanning for riverbank erosion assessment","type":"article-journal","volume":"95"},"uris":["http://www.mendeley.com/documents/?uuid=bf06ed26-2092-31d4-93f5-9797df3db704"]},{"id":"ITEM-2","itemData":{"DOI":"10.1029/WR018i004p01278","ISSN":"19447973","abstract":"While sediment in surface waters may be one of our more serious water quality problems, the sources of this sediment are not well defined. Sediment control programs for water quality are presently concentrating on the application of best management practices (BMP's) across the watershed with little regard to location. The authors have studied sediment movement patterns in a midwestern watershed using fallout cesium- 137 techniques and have concluded these programs may be largely ineffective. The implications from this work are that cropped floodplains are the most severely eroded lands in the watershed, followed by cropped lands bordering the floodplains. Most of the eroded sediment either originates on or is delivered directly to the active floodplain and hence to the stream. The authors conclude that the majority of cropped uplands may not be nearly as important in determining sediment levels in streams as is generally thought","author":[{"dropping-particle":"","family":"Wilkin","given":"Donovan C.","non-dropping-particle":"","parse-names":false,"suffix":""},{"dropping-particle":"","family":"Hebel","given":"Susan J.","non-dropping-particle":"","parse-names":false,"suffix":""}],"container-title":"Water Resources Research","id":"ITEM-2","issue":"4","issued":{"date-parts":[["1982","8"]]},"page":"1278-1282","title":"Erosion, redeposition, and delivery of sediment to midwestern streams","type":"article-journal","volume":"18"},"uris":["http://www.mendeley.com/documents/?uuid=8a77f01e-d9b1-371d-ade4-b1f39fd9977a"]},{"id":"ITEM-3","itemData":{"DOI":"10.1029/WR023i007p01225","ISSN":"19447973","abstract":"Rates and processes of bank erosion were evaluated for reaches of two alluvial, equiwidth to wide bend, point bar streams in Iowa: East Nishnabotna River and Des Moines River. The evaluation was made using historical records (airphotos, maps, and streamflow records), field measurements, and soil analyses. The erosion rates were correlated with channel characteristics such as width, depth, curvature, arc angle of channel centerline, channel slope, friction factor, and degree of vegetation on the banks. The correlation was studied using a meander flow model developed by the author. The meander flow model simulated the velocity distribution in the bends and the location of the erosion occurrences. Estimates were made of total sediment influx to the rivers from cutbank erosion.","author":[{"dropping-particle":"","family":"Odgaard","given":"A. Jacob","non-dropping-particle":"","parse-names":false,"suffix":""}],"container-title":"Water Resources Research","id":"ITEM-3","issue":"7","issued":{"date-parts":[["1987"]]},"note":"NULL","page":"1225-1236","title":"Streambank erosion along two rivers in Iowa","type":"article-journal","volume":"23"},"uris":["http://www.mendeley.com/documents/?uuid=774e4da0-7c35-4b11-9a6a-4e4bc8975bf7"]},{"id":"ITEM-4","itemData":{"DOI":"10.13031/2013.34138","author":[{"dropping-particle":"","family":"J. M. Hamlett","given":"","non-dropping-particle":"","parse-names":false,"suffix":""},{"dropping-particle":"","family":"J. L. Baker","given":"","non-dropping-particle":"","parse-names":false,"suffix":""},{"dropping-particle":"","family":"H. P. Johnson","given":"","non-dropping-particle":"","parse-names":false,"suffix":""}],"container-title":"Transactions of the ASAE","id":"ITEM-4","issue":"5","issued":{"date-parts":[["2013"]]},"page":"1390-1396","title":"Channel Morphology Changes and Sediment Yield for a Small Agricultural Watershed in Iowa","type":"article-journal","volume":"26"},"uris":["http://www.mendeley.com/documents/?uuid=a33ede9b-f7ca-37f4-a56f-e8f17ba71b09"]},{"id":"ITEM-5","itemData":{"DOI":"10.1021/es2019109","ISSN":"0013936X","abstract":"Although sediment is a natural constituent of rivers, excess loading to rivers and streams is a leading cause of impairment and biodiversity loss. Remedial actions require identification of the sources and mechanisms of sediment supply. This task is complicated by the scale and complexity of large watersheds as well as changes in climate and land use that alter the drivers of sediment supply. Previous studies in Lake Pepin, a natural lake on the Mississippi River, indicate that sediment supply to the lake has increased 10-fold over the past 150 years. Herein we combine geochemical fingerprinting and a suite of geomorphic change detection techniques with a sediment mass balance for a tributary watershed to demonstrate that, although the sediment loading remains very large, the dominant source of sediment has shifted from agricultural soil erosion to accelerated erosion of stream banks and bluffs, driven by increased river discharge. Such hydrologic amplification of natural erosion processes calls for a new approach to watershed sediment modeling that explicitly accounts for channel and floodplain dynamics that amplify or dampen landscape processes. Further, this finding illustrates a new challenge in remediating nonpoint sediment pollution and indicates that management efforts must expand from soil erosion to factors contributing to increased water runoff.","author":[{"dropping-particle":"","family":"Belmont","given":"Patrick","non-dropping-particle":"","parse-names":false,"suffix":""},{"dropping-particle":"","family":"Gran","given":"Karen B.","non-dropping-particle":"","parse-names":false,"suffix":""},{"dropping-particle":"","family":"Schottler","given":"Shawn P.","non-dropping-particle":"","parse-names":false,"suffix":""},{"dropping-particle":"","family":"Wilcock","given":"Peter R.","non-dropping-particle":"","parse-names":false,"suffix":""},{"dropping-particle":"","family":"Day","given":"Stephanie S.","non-dropping-particle":"","parse-names":false,"suffix":""},{"dropping-particle":"","family":"Jennings","given":"Carrie","non-dropping-particle":"","parse-names":false,"suffix":""},{"dropping-particle":"","family":"Lauer","given":"J. Wesley","non-dropping-particle":"","parse-names":false,"suffix":""},{"dropping-particle":"","family":"Viparelli","given":"Enrica","non-dropping-particle":"","parse-names":false,"suffix":""},{"dropping-particle":"","family":"Willenbring","given":"Jane K.","non-dropping-particle":"","parse-names":false,"suffix":""},{"dropping-particle":"","family":"Engstrom","given":"Daniel R.","non-dropping-particle":"","parse-names":false,"suffix":""},{"dropping-particle":"","family":"Parker","given":"Gary","non-dropping-particle":"","parse-names":false,"suffix":""}],"container-title":"Environmental Science and Technology","id":"ITEM-5","issue":"20","issued":{"date-parts":[["2011","10","15"]]},"page":"8804-8810","title":"Large shift in source of fine sediment in the upper Mississippi River","type":"article-journal","volume":"45"},"uris":["http://www.mendeley.com/documents/?uuid=da102705-c63f-39a6-8308-4b3911224a29"]},{"id":"ITEM-6","itemData":{"DOI":"10.2489/jswc.63.6.523","ISSN":"1941-3300","abstract":"A technique using the relationship between the naturally occurring radionuclide tracers, Be-7 and Pb-210(xs), was used to differentiate eroded surface soils and channel-derived sediments in the fine suspended sediment loads of runoff events in five Conservation Effects Assessment Project watersheds. A simple two end-member mixing model was used to determine the relative contribution from each Source. Results Suggest that eroded surface soils were more prevalent in the Suspended load early in a runoff event, but channel contributions dominated the suspended load at later stages. The method proved useful for multiple sites due to a constant proportion of the atmospheric deliveries of the two radionuclides globally. Use of only two radionuclide tracers simplifies the differentiation of sediment sources within a watershed but limits precision.","author":[{"dropping-particle":"","family":"Bosch","given":"D.D.","non-dropping-particle":"","parse-names":false,"suffix":""},{"dropping-particle":"","family":"Kuhnle","given":"R.A.","non-dropping-particle":"","parse-names":false,"suffix":""},{"dropping-particle":"","family":"Steiner","given":"J.L.","non-dropping-particle":"","parse-names":false,"suffix":""},{"dropping-particle":"","family":"Wilson","given":"G.V.","non-dropping-particle":"","parse-names":false,"suffix":""},{"dropping-particle":"","family":"Starks","given":"P.J.","non-dropping-particle":"","parse-names":false,"suffix":""},{"dropping-particle":"","family":"Tomer","given":"M.D.","non-dropping-particle":"","parse-names":false,"suffix":""},{"dropping-particle":"","family":"Wilson","given":"C.G.","non-dropping-particle":"","parse-names":false,"suffix":""}],"container-title":"Journal of Soil and Water Conservation","id":"ITEM-6","issue":"6","issued":{"date-parts":[["2008","11","1"]]},"page":"523-532","publisher":"Soil and Water Conservation Society","title":"Quantifying relative contributions from sediment sources in Conservation Effects Assessment Project watersheds","type":"article-journal","volume":"63"},"uris":["http://www.mendeley.com/documents/?uuid=4f0d3dad-6f88-37ab-8af5-8edf8fa114ee"]},{"id":"ITEM-7","itemData":{"DOI":"10.2134/jeq2009.0405","ISBN":"00472425","ISSN":"1537-2537","PMID":"20830921","abstract":"Thousands of stream miles in the southern Piedmont region are impaired because of high levels of suspended sediment. It is unclear if the source is upland erosion from agricultural sources or bank erosion of historic sediment deposited in the flood plains between 1830 and 1930 when cotton farming was extensive. The objective of this study was to determine the source of high stream suspended sediment concentrations in a typical southern Piedmont watershed using sediment fingerprinting techniques. Twenty-one potential tracers were tested for their ability to discriminate between sources, conservative behavior, and lack of redundancy. Tracer concentrations were determined in potential sediment sources (forests, pastures, row crop fields, stream banks, and unpaved roads and construction sites), and suspended sediment samples collected from the stream and analyzed using mixing models. Results indicated that 137Cs and 15N were the best tracers to discriminate potential sediment sources in this watershed. The delta15N values showed distinct signatures in all the potential suspended sediment sources, and delta15N was a unique tracer to differentiate stream bank soil from upland subsurface soils, such as soil from construction sites, unpaved roads, ditches, and field gullies. Mixing models showed that about 60% of the stream suspended sediment originated from eroding stream banks, 23 to 30% from upland subsoil sources (e.g., construction sites and unpaved roads), and about 10 to 15% from pastures. The results may be applicable to other watersheds in the Piedmont depending on the extent of urbanization occurring in these watersheds. Better understanding of the sources of fine sediment has practical implications on the type of sediment control measures to be adopted. Investment of resources in improving water quality should consider the factors causing stream bank erosion and erosion from unpaved roads and construction sites to water quality impairment.","author":[{"dropping-particle":"","family":"Mukundan","given":"Rajith","non-dropping-particle":"","parse-names":false,"suffix":""},{"dropping-particle":"","family":"Radcliffe","given":"David E.","non-dropping-particle":"","parse-names":false,"suffix":""},{"dropping-particle":"","family":"Ritchie","given":"J. C.","non-dropping-particle":"","parse-names":false,"suffix":""},{"dropping-particle":"","family":"Risse","given":"L. M.","non-dropping-particle":"","parse-names":false,"suffix":""},{"dropping-particle":"","family":"McKinley","given":"R. a.","non-dropping-particle":"","parse-names":false,"suffix":""}],"container-title":"Journal of environmental quality","id":"ITEM-7","issue":"4","issued":{"date-parts":[["1999"]]},"page":"1328-1337","title":"Sediment fingerprinting to determine the source of suspended sediment in a southern Piedmont stream","type":"article-journal","volume":"39"},"uris":["http://www.mendeley.com/documents/?uuid=6820df61-fa85-3c13-a001-967008131c16"]},{"id":"ITEM-8","itemData":{"DOI":"10.3390/w10020111","ISSN":"20734441","abstract":"© 2018 by the authors. Licensee MDPI, Basel, Switzerland. Streambank erosion may represent a significant source of sediment and phosphorus (P) to overall watershed loads; however, watershed-scale quantification of contributions is rare. In addition, streambanks are often comprised of highly va riable stratigraphic source materials (e.g., alluvial deposits), which may differentially impact in-channel P dynamics once eroded. The objective of this study was to quantify sediment and total phosphorus (TP) losses from four materials comprising streambanks within a 5218 ha watershed in Iowa, USA. Streambank-face surveys, erosion pins, and soil analyses were used to quantify surface area representation, recession, and losses of sediment and TP over a two-year period. Cumulative, whole-bank gross mean recession totaled 18.6 cm over two years, and material-specific gross mean recession ranged from 15.5 to 64.1 cm. Cumulative, whole-bank mean gross mass losses totaled 0.28 Mg sediment and 0.7 × 10 −5 Mg TP per meter channel length. Annual sediment losses equated to 4–44% of historic suspended sediment loads. Stratigraphy was significant in gross material erosion and losses, with lower materials (i.e., bank toe region) exhibiting the greatest recession rates and cumulative recession. Weathered/colluvial material dominated total bank face surface area (88.3%), and contributed the greatest proportion of sediment and TP mass loss (66, 68%, respectively) versus other streambank materials.","author":[{"dropping-particle":"","family":"Beck","given":"William","non-dropping-particle":"","parse-names":false,"suffix":""},{"dropping-particle":"","family":"Isenhart","given":"Thomas","non-dropping-particle":"","parse-names":false,"suffix":""},{"dropping-particle":"","family":"Moore","given":"Peter","non-dropping-particle":"","parse-names":false,"suffix":""},{"dropping-particle":"","family":"Schilling","given":"Keith","non-dropping-particle":"","parse-names":false,"suffix":""},{"dropping-particle":"","family":"Schultz","given":"Richard","non-dropping-particle":"","parse-names":false,"suffix":""},{"dropping-particle":"","family":"Tomer","given":"Mark","non-dropping-particle":"","parse-names":false,"suffix":""}],"container-title":"Water (Switzerland)","id":"ITEM-8","issue":"2","issued":{"date-parts":[["2018"]]},"title":"Streambank alluvial unit contributions to suspended sediment and total phosphorus loads, walnut Creek, Iowa, USA","type":"article-journal","volume":"10"},"uris":["http://www.mendeley.com/documents/?uuid=106d478f-ab07-3e7f-961f-20f83054b5bf"]}],"mendeley":{"formattedCitation":"(Beck et al., 2018; Belmont et al., 2011; Bosch et al., 2008; J. M. Hamlett, J. L. Baker, &amp; H. P. Johnson, 2013; Mukundan, Radcliffe, Ritchie, Risse, &amp; McKinley, 1999; Odgaard, 1987; Thoma, Gupta, Bauer, &amp; Kirchoff, 2005; Wilkin &amp; Hebel, 1982)","plainTextFormattedCitation":"(Beck et al., 2018; Belmont et al., 2011; Bosch et al., 2008; J. M. Hamlett, J. L. Baker, &amp; H. P. Johnson, 2013; Mukundan, Radcliffe, Ritchie, Risse, &amp; McKinley, 1999; Odgaard, 1987; Thoma, Gupta, Bauer, &amp; Kirchoff, 2005; Wilkin &amp; Hebel, 1982)","previouslyFormattedCitation":"(Beck et al., 2018b; Belmont et al., 2011; Bosch et al., 2008; J. M. Hamlett et al., 2013; Mukundan et al., 1999; Odgaard, 1987; Thoma et al., 2005; Wilkin and Hebel, 1982)"},"properties":{"noteIndex":0},"schema":"https://github.com/citation-style-language/schema/raw/master/csl-citation.json"}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(Beck et al., 2018; Belmont et al., 2011; Bosch et al., 2008; J. M. Hamlett, J. L. Baker, &amp; H. P. Johnson, 2013; Mukundan, Radcliffe, Ritchie, Risse, &amp; McKinley, 1999; Odgaard, 1987; Thoma, Gupta, Bauer, &amp; Kirchoff, 2005; Wilkin &amp; Hebel, 1982)</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These </w:t>
      </w:r>
      <w:r w:rsidRPr="005826E2">
        <w:rPr>
          <w:rFonts w:ascii="Times New Roman" w:hAnsi="Times New Roman"/>
          <w:color w:val="000000" w:themeColor="text1"/>
          <w:sz w:val="24"/>
        </w:rPr>
        <w:lastRenderedPageBreak/>
        <w:t xml:space="preserve">studies indicate that sediment and P fluxes from eroding banks are an important aspect of the riparian sediment </w:t>
      </w:r>
      <w:proofErr w:type="gramStart"/>
      <w:r w:rsidRPr="005826E2">
        <w:rPr>
          <w:rFonts w:ascii="Times New Roman" w:hAnsi="Times New Roman"/>
          <w:color w:val="000000" w:themeColor="text1"/>
          <w:sz w:val="24"/>
        </w:rPr>
        <w:t>budgets, and</w:t>
      </w:r>
      <w:proofErr w:type="gramEnd"/>
      <w:r w:rsidRPr="005826E2">
        <w:rPr>
          <w:rFonts w:ascii="Times New Roman" w:hAnsi="Times New Roman"/>
          <w:color w:val="000000" w:themeColor="text1"/>
          <w:sz w:val="24"/>
        </w:rPr>
        <w:t xml:space="preserve"> will need to be considered when seeking to reduce sediment and P loading rates. One major hurdle in quantifying these fluxes however is the large area over which bank erosion occurs. In the Nishnabotna watershed of southwest Iowa for example, there are over 2317 km of channel length contained within streams and rivers of Strahler order three and above. Unfortunately, the most common methods used to study bank erosion (pinning, ground-based LiDAR, and channel delineation using aerial photography) are prohibitively time-consuming when scaled to large watersheds with more than 1000 km of channel length. In a review by Fox et al. </w:t>
      </w:r>
      <w:r w:rsidRPr="005826E2">
        <w:rPr>
          <w:rFonts w:ascii="Times New Roman" w:hAnsi="Times New Roman"/>
          <w:color w:val="000000" w:themeColor="text1"/>
          <w:sz w:val="24"/>
        </w:rPr>
        <w:fldChar w:fldCharType="begin" w:fldLock="1"/>
      </w:r>
      <w:r w:rsidRPr="005826E2">
        <w:rPr>
          <w:rFonts w:ascii="Times New Roman" w:hAnsi="Times New Roman"/>
          <w:color w:val="000000" w:themeColor="text1"/>
          <w:sz w:val="24"/>
        </w:rPr>
        <w:instrText>ADDIN CSL_CITATION {"citationItems":[{"id":"ITEM-1","itemData":{"DOI":"10.1016/j.jenvman.2016.06.071","ISSN":"10958630","abstract":"Sediment and phosphorus (P) are two primary pollutants of surface waters. Many studies have investigated loadings from upland sources or even streambed sediment, but in many cases, limited to no data exist to determine sediment and P loading from streambanks on a watershed scale. The objectives of this paper are to review the current knowledge base on streambank erosion and failure mechanisms, streambank P concentrations, and streambanks as P loading sources and then also to identify future research needs on this topic. In many watersheds, long-term loading of soil and associated P to stream systems has created a source of eroded soil and P that may interact with streambank sediment and be deposited in floodplains downstream. In many cases streambanks were formed from previously eroded and deposited alluvial material and so the resulting soils possess unique physical and chemical properties from adjacent upland soils. Streambank sediment and P loading rates depend explicitly on the rate of streambank migration and the concentration of P stored within bank materials. From the survey of literature, previous studies report streambank total P concentrations that consistently exceeded 250 mg kg???1 soil. Only a few studies also reported water soluble or extractable P concentrations. More research should be devoted to understanding the dynamic processes between different P pools (total P versus bioavailable P), and sorption or desorption processes under varying hydraulic and stream chemistry conditions. Furthermore, the literature reported that streambank erosion and failure and gully erosion were reported to account for 7???92% of the suspended sediment load within a channel and 6???93% of total P. However, significant uncertainty can occur in such estimates due to reach-scale variability in streambank migration rates and future estimates should consider the use of uncertainty analysis approaches. Research is also needed on the transport rates of dissolved and sediment-bound P through the entire stream system of a watershed to identify critical upland and/or near-stream conservation practices. Extensive monitoring of the impact of restoration/rehabilitation efforts on reducing sediment and P loading are limited. From an application standpoint, streambank P contributions to streams should be more explicitly accounted for in developing total maximum daily loads in watersheds.","author":[{"dropping-particle":"","family":"Fox","given":"Garey A.","non-dropping-particle":"","parse-names":false,"suffix":""},{"dropping-particle":"","family":"Purvis","given":"Rebecca A.","non-dropping-particle":"","parse-names":false,"suffix":""},{"dropping-particle":"","family":"Penn","given":"Chad J.","non-dropping-particle":"","parse-names":false,"suffix":""}],"container-title":"Journal of Environmental Management","id":"ITEM-1","issued":{"date-parts":[["2016"]]},"note":"Holy shit this is the paper. Seriously this is your bible. Read it, study it, love it. 2016 review of streambank sediment loss with several sections describing where the discipline should go from here. From Oklahoma state group.","page":"602-614","publisher":"Elsevier Ltd","title":"Streambanks: A net source of sediment and phosphorus to streams and rivers","type":"article-journal","volume":"181"},"suppress-author":1,"uris":["http://www.mendeley.com/documents/?uuid=1995dd70-2fc1-4830-b67f-d71a48865cfa"]}],"mendeley":{"formattedCitation":"(2016a)","plainTextFormattedCitation":"(2016a)","previouslyFormattedCitation":"(2016a)"},"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(2016a)</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only one study was reported that analyzed a watershed with more than 1000 km of channel length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{"citationItems":[{"id":"ITEM-1","itemData":{"DOI":"10.2307/1352640","ISSN":"01608347","author":[{"dropping-particle":"","family":"Boynton","given":"W. R.","non-dropping-particle":"","parse-names":false,"suffix":""},{"dropping-particle":"","family":"Garber","given":"J. H.","non-dropping-particle":"","parse-names":false,"suffix":""},{"dropping-particle":"","family":"Summers","given":"R.","non-dropping-particle":"","parse-names":false,"suffix":""},{"dropping-particle":"","family":"Kemp","given":"W. M.","non-dropping-particle":"","parse-names":false,"suffix":""}],"container-title":"Estuaries","id":"ITEM-1","issue":"1","issued":{"date-parts":[["1995","3"]]},"page":"285","title":"Inputs, Transformations, and Transport of Nitrogen and Phosphorus in Chesapeake Bay and Selected Tributaries","type":"article-journal","volume":"18"},"uris":["http://www.mendeley.com/documents/?uuid=3dd6a6b9-320b-3c97-8523-5760757fb94a"]}],"mendeley":{"formattedCitation":"(Boynton, Garber, Summers, &amp; Kemp, 1995)","plainTextFormattedCitation":"(Boynton, Garber, Summers, &amp; Kemp, 1995)","previouslyFormattedCitation":"(Boynton et al., 1995)"},"properties":{"noteIndex":0},"schema":"https://github.com/citation-style-language/schema/raw/master/csl-citation.json"}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(Boynton, Garber, Summers, &amp; Kemp, 1995)</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Also, due to heterogeneity in soil types, erodibility, hydrologic conditions, and land management, it is often inappropriate to extrapolate erosion estimates to reaches not found within the study area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{"citationItems":[{"id":"ITEM-1","itemData":{"DOI":"10.1002/esp.3901","ISSN":"10969837","abstract":"Streambank erosion is a pathway for sediment and nutrient loading to streams, but insufficient data exist on the magnitude of this source. Riparian protection can significantly decrease streambank erosion in some locations, but estimates of actual sediment load reductions are limited. The objective of this research was to quantify watershed-scale streambank erosion and estimate the benefits of riparian protection. The research focused on Spavinaw Creek within the Eucha-Spavinaw watershed in eastern Oklahoma, where composite streambanks consist of a small cohesive topsoil layer underlain by non-cohesive gravel. Fine sediment erosion from 2003 to 2013 was derived using aerial photography and processed in ArcMap to quantify eroded area. ArcMap was also utilized in determining the bank retreat rate at various locations in relation to the riparian vegetation buffer width. Box and whisker plots clearly showed that sites with riparian vegetation had on average three times less bank retreat than unprotected banks, statistically significant based on non-parametric t-tests. The total soil mass eroded from 2003 to 2013 was estimated at 7.27 × 107 kg yr.−1, and the average bank retreat was 2.5 m yr.−1. Many current erosion models assume that fluvial erosion is the dominant stream erosion process. Bank retreat was positively correlated with stream discharge and/or stream power, but with considerable variability, suggesting that mass wasting plays an important role in streambank erosion within this watershed. Finally, watershed monitoring programs commonly characterize erosion at only a few sites and may scale results to the entire watershed. Selection of random sites and scaling to the watershed scale greatly underestimated the actual erosion and loading rates. Copyright © 2016 John Wiley &amp; Sons, Ltd.","author":[{"dropping-particle":"","family":"Purvis","given":"Rebecca A.","non-dropping-particle":"","parse-names":false,"suffix":""},{"dropping-particle":"","family":"Fox","given":"Garey A.","non-dropping-particle":"","parse-names":false,"suffix":""}],"container-title":"Earth Surface Processes and Landforms","id":"ITEM-1","issue":"10","issued":{"date-parts":[["2016"]]},"note":"NULL","page":"1327-1336","title":"Streambank sediment loading rates at the watershed scale and the benefit of riparian protection","type":"article-journal","volume":"41"},"uris":["http://www.mendeley.com/documents/?uuid=4895abb1-79d5-46ff-b9a9-75786c94ab75"]}],"mendeley":{"formattedCitation":"(Purvis &amp; Fox, 2016)","plainTextFormattedCitation":"(Purvis &amp; Fox, 2016)","previouslyFormattedCitation":"(Purvis and Fox, 2016)"},"properties":{"noteIndex":0},"schema":"https://github.com/citation-style-language/schema/raw/master/csl-citation.json"}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(Purvis &amp; Fox, 2016)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Consequently, a method for estimating bank erosion that can incorporate watershed heterogeneity and analyze large extents quickly would allow for a better estimation of eroding bank contributions to sediment and P budgets.</w:t>
      </w:r>
    </w:p>
    <w:p w14:paraId="4460A223" w14:textId="15870B05"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To accomplish this, we have developed the aerial imagery migration model (AIMM) (Chapter 2)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_Ref4242600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1</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w:t>
      </w:r>
      <w:r w:rsidRPr="005826E2">
        <w:rPr>
          <w:rFonts w:ascii="Times New Roman" w:hAnsi="Times New Roman"/>
          <w:sz w:val="24"/>
        </w:rPr>
        <w:t xml:space="preserve">AIMM makes use of techniques found within previous channel migration models </w:t>
      </w:r>
      <w:r w:rsidRPr="005826E2">
        <w:rPr>
          <w:rFonts w:ascii="Times New Roman" w:hAnsi="Times New Roman"/>
          <w:sz w:val="24"/>
        </w:rPr>
        <w:fldChar w:fldCharType="begin" w:fldLock="1"/>
      </w:r>
      <w:r>
        <w:rPr>
          <w:rFonts w:ascii="Times New Roman" w:hAnsi="Times New Roman"/>
          <w:sz w:val="24"/>
        </w:rPr>
        <w:instrText>ADDIN CSL_CITATION {"citationItems":[{"id":"ITEM-1","itemData":{"DOI":"10.1016/j.envsoft.2018.03.028","ISSN":"13648152","abstract":"We introduce PyRIS, an automated, process-based software for extracting extensive meandering and anabranching river morphodynamics from multitemporal satellite imagery, including a unique ability to quantify river bars dynamics. PyRIS provides three main computations: (i) detection of planform centerline including complex river patterns, (ii) computation of migration vectors between subsequent centerlines, and (iii) analysis of sediment bars dynamics. PyRIS was validated against several test cases in the Amazon River basin, specifically i) main channel extraction from the anabranching Amazon river, ii) migration analysis following a large cutoff on the Ucayali River and iii) detection of sediment bar migration on the Xingu River. Tests prove the capability of PyRIS to detect the main channel in anabranching structures and chute cutoffs. PyRIS can extract extensive morphodynamic information with unprecedented automation levels and reasonable computational effort (5 h for 28 Landsat images of a 240 km reach of the Xingu River on a 3.20 GHz Intel).","author":[{"dropping-particle":"","family":"Monegaglia","given":"Federico","non-dropping-particle":"","parse-names":false,"suffix":""},{"dropping-particle":"","family":"Zolezzi","given":"Guido","non-dropping-particle":"","parse-names":false,"suffix":""},{"dropping-particle":"","family":"Güneralp","given":"Inci","non-dropping-particle":"","parse-names":false,"suffix":""},{"dropping-particle":"","family":"Henshaw","given":"Alexander J","non-dropping-particle":"","parse-names":false,"suffix":""},{"dropping-particle":"","family":"Tubino","given":"Marco","non-dropping-particle":"","parse-names":false,"suffix":""}],"container-title":"Environmental Modelling and Software","id":"ITEM-1","issued":{"date-parts":[["2018"]]},"page":"171-186","publisher":"Elsevier Ltd","title":"Automated extraction of meandering river morphodynamics from multitemporal remotely sensed data","type":"article-journal","volume":"105"},"uris":["http://www.mendeley.com/documents/?uuid=733936a7-6540-45fb-a2aa-16d7adcd64dc"]},{"id":"ITEM-2","itemData":{"DOI":"10.1016/j.rse.2016.07.005","ISBN":"0034-4257","ISSN":"00344257","abstract":"Remotely sensed imagery of rivers has long served as a means for characterizing channel properties and detection of planview change. In the last decade the dramatic increase in the availability of satellite imagery and processing tools has created the potential to greatly expand the spatial and temporal scale of our understanding of river morphology and dynamics. To date, the majority of GIS and automated analyses of planview changes in rivers from remotely sensed data has been developed for single-threaded meandering river systems. These methods have limited applicability to many of the earth's rivers with complex multi-channel planforms. Here we present the methodologies of a set of analysis algorithms collectively called Spatially Continuous Riverbank Erosion and Accretion Measurements (SCREAM). SCREAM analyzes planview river metrics regardless of river morphology. These algorithms quantify both the erosion and accretion rates of riverbanks from binary masks of channels generated from imagery acquired at two time periods. Additionally, the program quantifies the area of change between river channels and the surrounding floodplain and area of islands lost or formed between these two time periods. To examine variations in erosion rates in relation to local channel attributes and make rate comparisons between river systems of varying sizes, the program determines channel widths and bank curvature at every bank pixel. SCREAM was developed and tested on rivers with diverse and complex planform morphologies in imagery acquired from a range of observational platforms with varying spatial resolutions. Validation and verification of SCREAM-generated metrics against manual measurements show no significant measurement errors in determination of channel width, erosion, and bank aspects. SCREAM has the potential to provide data for both the quantitative examination of the controls on erosion rates and for the comparison of these rates across river systems ranging broadly in size and planform morphology.","author":[{"dropping-particle":"","family":"Rowland","given":"Joel C.","non-dropping-particle":"","parse-names":false,"suffix":""},{"dropping-particle":"","family":"Shelef","given":"Eitan","non-dropping-particle":"","parse-names":false,"suffix":""},{"dropping-particle":"","family":"Pope","given":"Paul A.","non-dropping-particle":"","parse-names":false,"suffix":""},{"dropping-particle":"","family":"Muss","given":"Jordan","non-dropping-particle":"","parse-names":false,"suffix":""},{"dropping-particle":"","family":"Gangodagamage","given":"Chandana","non-dropping-particle":"","parse-names":false,"suffix":""},{"dropping-particle":"","family":"Brumby","given":"Steven P.","non-dropping-particle":"","parse-names":false,"suffix":""},{"dropping-particle":"","family":"Wilson","given":"Cathy J.","non-dropping-particle":"","parse-names":false,"suffix":""}],"container-title":"Remote Sensing of Environment","id":"ITEM-2","issued":{"date-parts":[["2016"]]},"page":"212-228","title":"A morphology independent methodology for quantifying planview river change and characteristics from remotely sensed imagery","type":"article-journal","volume":"184"},"uris":["http://www.mendeley.com/documents/?uuid=57fa99fe-3761-4dcc-a7bd-8f95440a90ac"]}],"mendeley":{"formattedCitation":"(Monegaglia, Zolezzi, Güneralp, Henshaw, &amp; Tubino, 2018; Rowland et al., 2016)","plainTextFormattedCitation":"(Monegaglia, Zolezzi, Güneralp, Henshaw, &amp; Tubino, 2018; Rowland et al., 2016)","previouslyFormattedCitation":"(Monegaglia et al., 2018; Rowland et al., 2016)"},"properties":{"noteIndex":0},"schema":"https://github.com/citation-style-language/schema/raw/master/csl-citation.json"}</w:instrText>
      </w:r>
      <w:r w:rsidRPr="005826E2">
        <w:rPr>
          <w:rFonts w:ascii="Times New Roman" w:hAnsi="Times New Roman"/>
          <w:sz w:val="24"/>
        </w:rPr>
        <w:fldChar w:fldCharType="separate"/>
      </w:r>
      <w:r w:rsidRPr="005826E2">
        <w:rPr>
          <w:rFonts w:ascii="Times New Roman" w:hAnsi="Times New Roman"/>
          <w:noProof/>
          <w:sz w:val="24"/>
        </w:rPr>
        <w:t>(Monegaglia, Zolezzi, Güneralp, Henshaw, &amp; Tubino, 2018; Rowland et al., 2016)</w:t>
      </w:r>
      <w:r w:rsidRPr="005826E2">
        <w:rPr>
          <w:rFonts w:ascii="Times New Roman" w:hAnsi="Times New Roman"/>
          <w:sz w:val="24"/>
        </w:rPr>
        <w:fldChar w:fldCharType="end"/>
      </w:r>
      <w:r w:rsidRPr="005826E2">
        <w:rPr>
          <w:rFonts w:ascii="Times New Roman" w:hAnsi="Times New Roman"/>
          <w:sz w:val="24"/>
        </w:rPr>
        <w:t xml:space="preserve">, while also optimizing these technique for use with higher resolution aerial imagery. AIMM also combines an estimation of eroded area with a DEM analysis to calculate volumes of erosion. </w:t>
      </w:r>
      <w:r w:rsidRPr="005826E2">
        <w:rPr>
          <w:rFonts w:ascii="Times New Roman" w:hAnsi="Times New Roman"/>
          <w:color w:val="000000" w:themeColor="text1"/>
          <w:sz w:val="24"/>
        </w:rPr>
        <w:t xml:space="preserve">Specifically, the model </w:t>
      </w:r>
      <w:r w:rsidRPr="005826E2">
        <w:rPr>
          <w:rFonts w:ascii="Times New Roman" w:hAnsi="Times New Roman"/>
          <w:sz w:val="24"/>
        </w:rPr>
        <w:t xml:space="preserve">uses Normalized Difference Water Index (NDWI) images derived from aerial photography to classify landscapes into zones of </w:t>
      </w:r>
      <w:r w:rsidRPr="005826E2">
        <w:rPr>
          <w:rFonts w:ascii="Times New Roman" w:hAnsi="Times New Roman"/>
          <w:sz w:val="24"/>
        </w:rPr>
        <w:lastRenderedPageBreak/>
        <w:t>land and water. Water zones representing river and stream channels are then compared between two years to identify areas of erosion and deposition. Finally, AIMM utilizes a LiDAR-derived DEM to estimate the height of erosional and depositional zones in order to calculate the net change in channel volume. We have found this model’s results to be comparable to a change detection analysis based upon hand-delineation of channels, while also being more reproducible and efficient (Chapter 2).</w:t>
      </w:r>
    </w:p>
    <w:p w14:paraId="4A38EA3D"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The goal of this study is to quantify sediment and P loading rates within a large watershed using AIMM. Specifically, our study takes place within the Nishnabotna watershed, located in SW Iowa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_Ref4242733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2</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which has a total watershed area of 7253 km</w:t>
      </w:r>
      <w:r w:rsidRPr="005826E2">
        <w:rPr>
          <w:rFonts w:ascii="Times New Roman" w:hAnsi="Times New Roman"/>
          <w:color w:val="000000" w:themeColor="text1"/>
          <w:sz w:val="24"/>
          <w:vertAlign w:val="superscript"/>
        </w:rPr>
        <w:t>2</w:t>
      </w:r>
      <w:r w:rsidRPr="005826E2">
        <w:rPr>
          <w:rFonts w:ascii="Times New Roman" w:hAnsi="Times New Roman"/>
          <w:color w:val="000000" w:themeColor="text1"/>
          <w:sz w:val="24"/>
        </w:rPr>
        <w:t xml:space="preserve"> and 2317 km of total channel length. The use of AIMM in conjunction with stratified randomized soil sampling provides an effective framework for estimating eroding bank sediment and P fluxes on large scales. Additionally, AIMM’s low computational requirements in comparison to other channel migration models, use of publicly available data, and reproducibility make it one of the most effective methods for analyzing bank erosion on large temporal and spatial scales.</w:t>
      </w:r>
    </w:p>
    <w:p w14:paraId="047EF19E"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3" w:name="_Toc6834464"/>
      <w:r w:rsidRPr="005826E2">
        <w:rPr>
          <w:rFonts w:ascii="Times New Roman" w:eastAsiaTheme="majorEastAsia" w:hAnsi="Times New Roman" w:cstheme="majorBidi"/>
          <w:b/>
          <w:color w:val="000000" w:themeColor="text1"/>
          <w:sz w:val="24"/>
          <w:szCs w:val="26"/>
        </w:rPr>
        <w:t>Methods</w:t>
      </w:r>
      <w:bookmarkEnd w:id="3"/>
    </w:p>
    <w:p w14:paraId="1507EA81" w14:textId="77777777" w:rsidR="005826E2" w:rsidRPr="005826E2" w:rsidRDefault="005826E2" w:rsidP="005826E2">
      <w:pPr>
        <w:keepNext/>
        <w:keepLines/>
        <w:widowControl w:val="0"/>
        <w:spacing w:after="240" w:line="240" w:lineRule="auto"/>
        <w:outlineLvl w:val="2"/>
        <w:rPr>
          <w:rFonts w:ascii="Times New Roman" w:eastAsiaTheme="majorEastAsia" w:hAnsi="Times New Roman" w:cstheme="majorBidi"/>
          <w:b/>
          <w:color w:val="000000" w:themeColor="text1"/>
          <w:sz w:val="24"/>
          <w:szCs w:val="24"/>
        </w:rPr>
      </w:pPr>
      <w:bookmarkStart w:id="4" w:name="_Toc6834465"/>
      <w:r w:rsidRPr="005826E2">
        <w:rPr>
          <w:rFonts w:ascii="Times New Roman" w:eastAsiaTheme="majorEastAsia" w:hAnsi="Times New Roman" w:cstheme="majorBidi"/>
          <w:b/>
          <w:color w:val="000000" w:themeColor="text1"/>
          <w:sz w:val="24"/>
          <w:szCs w:val="24"/>
        </w:rPr>
        <w:t>Study Area</w:t>
      </w:r>
      <w:bookmarkEnd w:id="4"/>
    </w:p>
    <w:p w14:paraId="6BBC21DD" w14:textId="655C6310"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The Nishnabotna watershed is composed of the East and West Nishnabotna Watersheds, HUC 8 watersheds located in southwestern Iowa that have watershed areas of 2,975 km</w:t>
      </w:r>
      <w:r w:rsidRPr="005826E2">
        <w:rPr>
          <w:rFonts w:ascii="Times New Roman" w:hAnsi="Times New Roman"/>
          <w:color w:val="000000" w:themeColor="text1"/>
          <w:sz w:val="24"/>
          <w:vertAlign w:val="superscript"/>
        </w:rPr>
        <w:t>2</w:t>
      </w:r>
      <w:r w:rsidRPr="005826E2">
        <w:rPr>
          <w:rFonts w:ascii="Times New Roman" w:hAnsi="Times New Roman"/>
          <w:color w:val="000000" w:themeColor="text1"/>
          <w:sz w:val="24"/>
        </w:rPr>
        <w:t xml:space="preserve"> and 4,277 km</w:t>
      </w:r>
      <w:r w:rsidRPr="005826E2">
        <w:rPr>
          <w:rFonts w:ascii="Times New Roman" w:hAnsi="Times New Roman"/>
          <w:color w:val="000000" w:themeColor="text1"/>
          <w:sz w:val="24"/>
          <w:vertAlign w:val="superscript"/>
        </w:rPr>
        <w:t>2</w:t>
      </w:r>
      <w:r w:rsidRPr="005826E2">
        <w:rPr>
          <w:rFonts w:ascii="Times New Roman" w:hAnsi="Times New Roman"/>
          <w:color w:val="000000" w:themeColor="text1"/>
          <w:sz w:val="24"/>
        </w:rPr>
        <w:t xml:space="preserve"> respectively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_Ref4242733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2</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These watersheds are composed of Pre-Illinoian Till overlain by loess that was blown east from the Missouri River floodplain during the retreat of </w:t>
      </w:r>
      <w:proofErr w:type="spellStart"/>
      <w:r w:rsidRPr="005826E2">
        <w:rPr>
          <w:rFonts w:ascii="Times New Roman" w:hAnsi="Times New Roman"/>
          <w:color w:val="000000" w:themeColor="text1"/>
          <w:sz w:val="24"/>
        </w:rPr>
        <w:t>Wisconsinan</w:t>
      </w:r>
      <w:proofErr w:type="spellEnd"/>
      <w:r w:rsidRPr="005826E2">
        <w:rPr>
          <w:rFonts w:ascii="Times New Roman" w:hAnsi="Times New Roman"/>
          <w:color w:val="000000" w:themeColor="text1"/>
          <w:sz w:val="24"/>
        </w:rPr>
        <w:t xml:space="preserve"> ice sheets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{"citationItems":[{"id":"ITEM-1","itemData":{"DOI":"10.3368/lj.12.2.197","ISSN":"0277-2426","author":[{"dropping-particle":"","family":"Yahner","given":"Thomas","non-dropping-particle":"","parse-names":false,"suffix":""}],"container-title":"Landscape Journal","id":"ITEM-1","issue":"2","issued":{"date-parts":[["2016"]]},"page":"197-198","title":"LANDFORMS OF IOWA","type":"article-journal","volume":"12"},"uris":["http://www.mendeley.com/documents/?uuid=c3c6e9d1-7523-326f-af04-58f24bba7c35"]}],"mendeley":{"formattedCitation":"(Yahner, 2016)","plainTextFormattedCitation":"(Yahner, 2016)","previouslyFormattedCitation":"(Prior, 1991)"},"properties":{"noteIndex":0},"schema":"https://github.com/citation-style-language/schema/raw/master/csl-citation.json"}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(Yahner, 2016)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This loess ranges in thickness from 47 m to 62 m and decreases in thickness as you move east </w:t>
      </w:r>
      <w:r w:rsidRPr="005826E2">
        <w:rPr>
          <w:rFonts w:ascii="Times New Roman" w:hAnsi="Times New Roman"/>
          <w:color w:val="000000" w:themeColor="text1"/>
          <w:sz w:val="24"/>
        </w:rPr>
        <w:fldChar w:fldCharType="begin" w:fldLock="1"/>
      </w:r>
      <w:r w:rsidRPr="005826E2">
        <w:rPr>
          <w:rFonts w:ascii="Times New Roman" w:hAnsi="Times New Roman"/>
          <w:color w:val="000000" w:themeColor="text1"/>
          <w:sz w:val="24"/>
        </w:rPr>
        <w:instrText>ADDIN CSL_CITATION {"citationItems":[{"id":"ITEM-1","itemData":{"abstract":"This is a guidebook for field conference of a culmination of a long series of cooperative investigations in Iowa. With the staff of the Iowa Geological Survey and many other departments and survey services in accompanying states to produce this guidebook. This guidebook is a supplement part of the report, the detailed findings and review of previous investigations will not be elaborated in the publication.","author":[{"dropping-particle":"","family":"Bettis III","given":"E A","non-dropping-particle":"","parse-names":false,"suffix":""}],"container-title":"Iowa Department of Natural Resources, Geological Survey Bureau, Iowa City, IA","id":"ITEM-1","issued":{"date-parts":[["1990"]]},"title":"Holocene Alluvial Stratigraphy and Selected Aspects of the Quaternary History of Western Iowa: Guidebook for the 37th Field Conference of the Midwest Friends of the Pleistocene","type":"book"},"uris":["http://www.mendeley.com/documents/?uuid=091f4570-7f7a-360a-815c-cfa9793faa64"]}],"mendeley":{"formattedCitation":"(Bettis III, 1990)","plainTextFormattedCitation":"(Bettis III, 1990)","previouslyFormattedCitation":"(Bettis III, 1990)"},"properties":{"noteIndex":0},"schema":"https://github.com/citation-style-language/schema/raw/master/csl-citation.json"}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(Bettis III, 1990)</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The channel banks of the Nishnabotna watershed are composed of the </w:t>
      </w:r>
      <w:proofErr w:type="spellStart"/>
      <w:r w:rsidRPr="005826E2">
        <w:rPr>
          <w:rFonts w:ascii="Times New Roman" w:hAnsi="Times New Roman"/>
          <w:color w:val="000000" w:themeColor="text1"/>
          <w:sz w:val="24"/>
        </w:rPr>
        <w:t>DeForest</w:t>
      </w:r>
      <w:proofErr w:type="spellEnd"/>
      <w:r w:rsidRPr="005826E2">
        <w:rPr>
          <w:rFonts w:ascii="Times New Roman" w:hAnsi="Times New Roman"/>
          <w:color w:val="000000" w:themeColor="text1"/>
          <w:sz w:val="24"/>
        </w:rPr>
        <w:t xml:space="preserve"> Formation, which itself is </w:t>
      </w:r>
      <w:r w:rsidRPr="005826E2">
        <w:rPr>
          <w:rFonts w:ascii="Times New Roman" w:hAnsi="Times New Roman"/>
          <w:color w:val="000000" w:themeColor="text1"/>
          <w:sz w:val="24"/>
        </w:rPr>
        <w:lastRenderedPageBreak/>
        <w:t xml:space="preserve">composed of three main members: the Camp Creek, Roberts Creek, and </w:t>
      </w:r>
      <w:proofErr w:type="spellStart"/>
      <w:r w:rsidRPr="005826E2">
        <w:rPr>
          <w:rFonts w:ascii="Times New Roman" w:hAnsi="Times New Roman"/>
          <w:color w:val="000000" w:themeColor="text1"/>
          <w:sz w:val="24"/>
        </w:rPr>
        <w:t>Gunder</w:t>
      </w:r>
      <w:proofErr w:type="spellEnd"/>
      <w:r w:rsidRPr="005826E2">
        <w:rPr>
          <w:rFonts w:ascii="Times New Roman" w:hAnsi="Times New Roman"/>
          <w:color w:val="000000" w:themeColor="text1"/>
          <w:sz w:val="24"/>
        </w:rPr>
        <w:t xml:space="preserve"> Member </w:t>
      </w:r>
      <w:r w:rsidRPr="005826E2">
        <w:rPr>
          <w:rFonts w:ascii="Times New Roman" w:hAnsi="Times New Roman"/>
          <w:color w:val="000000" w:themeColor="text1"/>
          <w:sz w:val="24"/>
        </w:rPr>
        <w:fldChar w:fldCharType="begin" w:fldLock="1"/>
      </w:r>
      <w:r w:rsidRPr="005826E2">
        <w:rPr>
          <w:rFonts w:ascii="Times New Roman" w:hAnsi="Times New Roman"/>
          <w:color w:val="000000" w:themeColor="text1"/>
          <w:sz w:val="24"/>
        </w:rPr>
        <w:instrText>ADDIN CSL_CITATION {"citationItems":[{"id":"ITEM-1","itemData":{"author":[{"dropping-particle":"","family":"Bettis","given":"E. Arthur III","non-dropping-particle":"","parse-names":false,"suffix":""}],"id":"ITEM-1","issued":{"date-parts":[["1990"]]},"title":"Holocene Alluvial Stratigraphy and Selected Aspects of the Quaternary History of Western Iowa","type":"article"},"uris":["http://www.mendeley.com/documents/?uuid=10594cc1-a884-47c4-bd19-ef5313f683a5"]}],"mendeley":{"formattedCitation":"(Bettis, 1990)","plainTextFormattedCitation":"(Bettis, 1990)","previouslyFormattedCitation":"(Bettis, 1990)"},"properties":{"noteIndex":0},"schema":"https://github.com/citation-style-language/schema/raw/master/csl-citation.json"}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(Bettis, 1990)</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The </w:t>
      </w:r>
      <w:proofErr w:type="spellStart"/>
      <w:r w:rsidRPr="005826E2">
        <w:rPr>
          <w:rFonts w:ascii="Times New Roman" w:hAnsi="Times New Roman"/>
          <w:color w:val="000000" w:themeColor="text1"/>
          <w:sz w:val="24"/>
        </w:rPr>
        <w:t>Gunder</w:t>
      </w:r>
      <w:proofErr w:type="spellEnd"/>
      <w:r w:rsidRPr="005826E2">
        <w:rPr>
          <w:rFonts w:ascii="Times New Roman" w:hAnsi="Times New Roman"/>
          <w:color w:val="000000" w:themeColor="text1"/>
          <w:sz w:val="24"/>
        </w:rPr>
        <w:t xml:space="preserve"> Member is composed of oxidized silty and loamy material that is relatively cohesive, and often represents the modern channel bottom. The Roberts and Camp Creek members are both silty and loamy alluvium that are highly erodible. Channel networks are young, and both bank and gully erosion are major conservation issues within the watershed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{"citationItems":[{"id":"ITEM-1","itemData":{"DOI":"10.2136/sssaj2004.1905","ISBN":"0361-5995","ISSN":"0361-5995","abstract":"Terrain analyses may help target conservation practices, but soil survey is the traditional basis for conservation planning. This study's objective was to identify correspondence between terrain and soil survey attributes. Iowa's South Fork (78 000 ha) and West Nishnabotna (64 000 ha) watersheds provided example datasets. Major resource concerns are soil wetness in the South Fork's glacial terrain, and soil erosion in the West Nishnabotna's loess hills. Slope, contributing area, curvature, and wetness (W) and erosion (E) indices, calculated from National Elevation Database (30-m) data, were each divided into two groups according to highly erodible land (HEL), hydric-soil, drainage-class, topsoil-thickness, clay, and organic matter content attributes from soil survey delineations. All groupings had different means (p &lt; 0.001), but proportions of captured variance ranged from &lt;0.1 to 22%. Critical values of slope and W segregated hydric, drainage, and topsoil-thickness groups with 66 to 74% accuracy in both watersheds, and slope and E segregated HEL groupings with 71 to 76% accuracy. Finer detail in terrain data appeared realistic in dissected terrain, but artificial in near-level terrain. The largest 20% of Wvalues were about 80% hydric soils in the South Fork, and the largest 20% of E values were about 80% HEL in the West Nishnabotna. However, similar statements on E and HEL in the South Fork, and W and hydric soils in the West Nishnabotna, applied to few cells (&lt;2%) with &lt;70% accuracy. Therefore, targeting of conservation practices based on 30-m grid terrain analysis can be consistent with soil survey information, but to a degree that varies by landscape and resource concern.","author":[{"dropping-particle":"","family":"Tomer","given":"M D","non-dropping-particle":"","parse-names":false,"suffix":""},{"dropping-particle":"","family":"James","given":"D E","non-dropping-particle":"","parse-names":false,"suffix":""}],"container-title":"Soil Science Society of America Journal","id":"ITEM-1","issue":"6","issued":{"date-parts":[["2004"]]},"page":"1905-1915","title":"Do soil surveys and terrain analyses identify similar priority sites for conservation?","type":"article-journal","volume":"68"},"uris":["http://www.mendeley.com/documents/?uuid=d0e72f1f-9fcc-3f22-b176-1b5e1131eb77"]},{"id":"ITEM-2","itemData":{"DOI":"10.1002/esp.1084","ISBN":"1096-9837","ISSN":"01979337","abstract":"Growth of a permanent, valley-bottom gully from 1964 to 2000 was determined annually from survey and sediment-discharge data and compared with runoff and baseflow discharges. Data were analysed to test the hypothesis that rates of gully growth decay exponentially with time in response to shrinking catchment area caused by gully enlargement. Also, monthly values of growth rates and runoff, averaged over the 36-year record, were analysed with mass-wasting data to determine the extent to which colluvium availability affected growth rates seasonally. From 1964 to 2000, the gully volume increased by 9200 m 3 , accounting for 34 per cent of sediment yield from the watershed. There were tight power-law relationships between annual growth rates and annual runoff, with runoff exponents of 1·57 and 1·30 for headward and volumetric growth, respectively. Increases in gully length, area, and volume were fitted successfully assuming an exponential decay in growth rate with time. Rather than being due to a decrease in catchment area, however, the decline in growth rate was caused by a 77 per cent decrease in the ratio of runoff to baseflow, which also widened the gully and reduced the mean slope of its banks. Order-of-magnitude seasonal changes in erosion efficiency, defined as the fraction of stream power used to evacuate sediment from the gully, were roughly correlated with colluvium availability, as indicated by seasonal changes in the number of bank mass-wasting events. No more than 2·2 per cent of stream power was used to evacuate sediment during any month. This study demonstrates the danger of attributing declining rates of gully growth to a shrinking catchment area if corroborative runoff and baseflow data are not available. Moreover, it illustrates that stream power alone provides only a rough and physically indirect measure of erosion potential.","author":[{"dropping-particle":"","family":"Thomas","given":"John T.","non-dropping-particle":"","parse-names":false,"suffix":""},{"dropping-particle":"","family":"Iverson","given":"Neal R.","non-dropping-particle":"","parse-names":false,"suffix":""},{"dropping-particle":"","family":"Burkart","given":"Michael R.","non-dropping-particle":"","parse-names":false,"suffix":""},{"dropping-particle":"","family":"Kramer","given":"Larry A.","non-dropping-particle":"","parse-names":false,"suffix":""}],"container-title":"Earth Surface Processes and Landforms","id":"ITEM-2","issue":"8","issued":{"date-parts":[["2004"]]},"page":"995-1009","title":"Long-term growth of a valley-bottom gully, Western Iowa","type":"article-journal","volume":"29"},"uris":["http://www.mendeley.com/documents/?uuid=ac0ee180-eaf9-4ae9-958e-8d8399f42cc0"]}],"mendeley":{"formattedCitation":"(Thomas, Iverson, Burkart, &amp; Kramer, 2004; Tomer &amp; James, 2004)","plainTextFormattedCitation":"(Thomas, Iverson, Burkart, &amp; Kramer, 2004; Tomer &amp; James, 2004)","previouslyFormattedCitation":"(Thomas et al., 2004; Tomer and James, 2004)"},"properties":{"noteIndex":0},"schema":"https://github.com/citation-style-language/schema/raw/master/csl-citation.json"}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(Thomas, Iverson, Burkart, &amp; Kramer, 2004; Tomer &amp; James, 2004)</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w:t>
      </w:r>
    </w:p>
    <w:p w14:paraId="2B6C14AC" w14:textId="77777777" w:rsidR="005826E2" w:rsidRPr="005826E2" w:rsidRDefault="005826E2" w:rsidP="005826E2">
      <w:pPr>
        <w:keepNext/>
        <w:keepLines/>
        <w:widowControl w:val="0"/>
        <w:spacing w:after="240" w:line="240" w:lineRule="auto"/>
        <w:outlineLvl w:val="2"/>
        <w:rPr>
          <w:rFonts w:ascii="Times New Roman" w:eastAsiaTheme="majorEastAsia" w:hAnsi="Times New Roman" w:cstheme="majorBidi"/>
          <w:b/>
          <w:color w:val="000000" w:themeColor="text1"/>
          <w:sz w:val="24"/>
          <w:szCs w:val="24"/>
        </w:rPr>
      </w:pPr>
      <w:bookmarkStart w:id="5" w:name="_Toc6834466"/>
      <w:r w:rsidRPr="005826E2">
        <w:rPr>
          <w:rFonts w:ascii="Times New Roman" w:eastAsiaTheme="majorEastAsia" w:hAnsi="Times New Roman" w:cstheme="majorBidi"/>
          <w:b/>
          <w:color w:val="000000" w:themeColor="text1"/>
          <w:sz w:val="24"/>
          <w:szCs w:val="24"/>
        </w:rPr>
        <w:t>Field and Laboratory Methods</w:t>
      </w:r>
      <w:bookmarkEnd w:id="5"/>
    </w:p>
    <w:p w14:paraId="6C61C7D9"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In order to estimate the sediment and P inputs associated with eroding banks, it was necessary to obtain a representative sample of bank material so that soil bulk density and P concentration could be constrained. To ensure a well-distributed sample population, three coring sites were randomly selected within each stream order present in the watershed (1</w:t>
      </w:r>
      <w:r w:rsidRPr="005826E2">
        <w:rPr>
          <w:rFonts w:ascii="Times New Roman" w:hAnsi="Times New Roman"/>
          <w:color w:val="000000" w:themeColor="text1"/>
          <w:sz w:val="24"/>
          <w:vertAlign w:val="superscript"/>
        </w:rPr>
        <w:t>st</w:t>
      </w:r>
      <w:r w:rsidRPr="005826E2">
        <w:rPr>
          <w:rFonts w:ascii="Times New Roman" w:hAnsi="Times New Roman"/>
          <w:color w:val="000000" w:themeColor="text1"/>
          <w:sz w:val="24"/>
        </w:rPr>
        <w:t xml:space="preserve"> order-6</w:t>
      </w:r>
      <w:r w:rsidRPr="005826E2">
        <w:rPr>
          <w:rFonts w:ascii="Times New Roman" w:hAnsi="Times New Roman"/>
          <w:color w:val="000000" w:themeColor="text1"/>
          <w:sz w:val="24"/>
          <w:vertAlign w:val="superscript"/>
        </w:rPr>
        <w:t>th</w:t>
      </w:r>
      <w:r w:rsidRPr="005826E2">
        <w:rPr>
          <w:rFonts w:ascii="Times New Roman" w:hAnsi="Times New Roman"/>
          <w:color w:val="000000" w:themeColor="text1"/>
          <w:sz w:val="24"/>
        </w:rPr>
        <w:t xml:space="preserve"> order), for a total of 18 cores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_Ref4242779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3</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Cores were collected on November 6</w:t>
      </w:r>
      <w:r w:rsidRPr="005826E2">
        <w:rPr>
          <w:rFonts w:ascii="Times New Roman" w:hAnsi="Times New Roman"/>
          <w:color w:val="000000" w:themeColor="text1"/>
          <w:sz w:val="24"/>
          <w:vertAlign w:val="superscript"/>
        </w:rPr>
        <w:t>th</w:t>
      </w:r>
      <w:r w:rsidRPr="005826E2">
        <w:rPr>
          <w:rFonts w:ascii="Times New Roman" w:hAnsi="Times New Roman"/>
          <w:color w:val="000000" w:themeColor="text1"/>
          <w:sz w:val="24"/>
        </w:rPr>
        <w:t>-9</w:t>
      </w:r>
      <w:r w:rsidRPr="005826E2">
        <w:rPr>
          <w:rFonts w:ascii="Times New Roman" w:hAnsi="Times New Roman"/>
          <w:color w:val="000000" w:themeColor="text1"/>
          <w:sz w:val="24"/>
          <w:vertAlign w:val="superscript"/>
        </w:rPr>
        <w:t>th</w:t>
      </w:r>
      <w:r w:rsidRPr="005826E2">
        <w:rPr>
          <w:rFonts w:ascii="Times New Roman" w:hAnsi="Times New Roman"/>
          <w:color w:val="000000" w:themeColor="text1"/>
          <w:sz w:val="24"/>
        </w:rPr>
        <w:t>, and December 8</w:t>
      </w:r>
      <w:r w:rsidRPr="005826E2">
        <w:rPr>
          <w:rFonts w:ascii="Times New Roman" w:hAnsi="Times New Roman"/>
          <w:color w:val="000000" w:themeColor="text1"/>
          <w:sz w:val="24"/>
          <w:vertAlign w:val="superscript"/>
        </w:rPr>
        <w:t>th</w:t>
      </w:r>
      <w:r w:rsidRPr="005826E2">
        <w:rPr>
          <w:rFonts w:ascii="Times New Roman" w:hAnsi="Times New Roman"/>
          <w:color w:val="000000" w:themeColor="text1"/>
          <w:sz w:val="24"/>
        </w:rPr>
        <w:t xml:space="preserve">, of 2017 using a truck-mounted Giddings Probe at sites no more than 5 m from actively eroding banks. Sample stratification by order was included in order to serve as proxy for variations in stream power and channel geometry, both of which have large influences on the channel migration regime within a watershed. Core lengths ranged from 3-5 m and corresponded to the height of the eroding bank from which they were taken. All cores were transported to a lab setting where they were described, classified into the three members of the </w:t>
      </w:r>
      <w:proofErr w:type="spellStart"/>
      <w:r w:rsidRPr="005826E2">
        <w:rPr>
          <w:rFonts w:ascii="Times New Roman" w:hAnsi="Times New Roman"/>
          <w:color w:val="000000" w:themeColor="text1"/>
          <w:sz w:val="24"/>
        </w:rPr>
        <w:t>DeForest</w:t>
      </w:r>
      <w:proofErr w:type="spellEnd"/>
      <w:r w:rsidRPr="005826E2">
        <w:rPr>
          <w:rFonts w:ascii="Times New Roman" w:hAnsi="Times New Roman"/>
          <w:color w:val="000000" w:themeColor="text1"/>
          <w:sz w:val="24"/>
        </w:rPr>
        <w:t xml:space="preserve"> Formation, and subsampled at the top, base and at every 0.5 m interval within each member. These samples were then analyzed to identify their bulk density, Total Phosphorus (TP) content, and particle size distribution. In addition to these samples, nine exploratory samples were collected outside of Oakland, IA no more than 20 cm below ground level in order to provide a preliminary estimate of soil TP concentrations.  </w:t>
      </w:r>
    </w:p>
    <w:p w14:paraId="7E3CC6F7" w14:textId="357E7906"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lastRenderedPageBreak/>
        <w:t>Bulk density was measured by extracting duplicate 2 cm cylinders at each sample depth, oven drying these samples at 105</w:t>
      </w:r>
      <w:r w:rsidRPr="005826E2">
        <w:rPr>
          <w:rFonts w:ascii="Times New Roman" w:hAnsi="Times New Roman" w:cs="Times New Roman"/>
          <w:color w:val="000000" w:themeColor="text1"/>
          <w:sz w:val="24"/>
        </w:rPr>
        <w:t>º</w:t>
      </w:r>
      <w:r w:rsidRPr="005826E2">
        <w:rPr>
          <w:rFonts w:ascii="Times New Roman" w:hAnsi="Times New Roman"/>
          <w:color w:val="000000" w:themeColor="text1"/>
          <w:sz w:val="24"/>
        </w:rPr>
        <w:t xml:space="preserve"> C for a minimum of 24 hours, and until their weight had stabilized to determine dry weight. Dry weight of samples was then divided by core volume to calculate bulk density. Total Phosphorus samples were analyzed using the aqua regia method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{"citationItems":[{"id":"ITEM-1","itemData":{"DOI":"10.1002/jsfa.2740360906","ISSN":"00225142","author":[{"dropping-particle":"","family":"McGrath","given":"Stephen P.","non-dropping-particle":"","parse-names":false,"suffix":""},{"dropping-particle":"","family":"Cunliffe","given":"Caroline H.","non-dropping-particle":"","parse-names":false,"suffix":""}],"container-title":"Journal of the Science of Food and Agriculture","id":"ITEM-1","issue":"9","issued":{"date-parts":[["1985","9"]]},"page":"794-798","title":"A simplified method for the extraction of the metals Fe, Zn, Cu, Ni, Cd, Pb, Cr, Co and Mn from soils and sewage sludges","type":"article-journal","volume":"36"},"uris":["http://www.mendeley.com/documents/?uuid=b307889b-dd90-31a6-b2ed-44051f6f2f16"]}],"mendeley":{"formattedCitation":"(McGrath &amp; Cunliffe, 1985)","plainTextFormattedCitation":"(McGrath &amp; Cunliffe, 1985)","previouslyFormattedCitation":"(McGrath and Cunliffe, 1985)"},"properties":{"noteIndex":0},"schema":"https://github.com/citation-style-language/schema/raw/master/csl-citation.json"}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(McGrath &amp; Cunliffe, 1985)</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and particle size analysis was performed using laser diffractometry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{"citationItems":[{"id":"ITEM-1","itemData":{"DOI":"10.2136/sssaj2011.0303","author":[{"dropping-particle":"","family":"Miller","given":"Bradley A","non-dropping-particle":"","parse-names":false,"suffix":""},{"dropping-particle":"","family":"Schaetzl","given":"Randall J","non-dropping-particle":"","parse-names":false,"suffix":""}],"id":"ITEM-1","issued":{"date-parts":[["2011"]]},"title":"Precision of Soil Particle Size Analysis using Laser Diffractometry","type":"article-journal"},"uris":["http://www.mendeley.com/documents/?uuid=a333129f-56f3-43a3-a2ef-5909cd3164f6"]}],"mendeley":{"formattedCitation":"(B. A. Miller &amp; Schaetzl, 2011)","plainTextFormattedCitation":"(B. A. Miller &amp; Schaetzl, 2011)","previouslyFormattedCitation":"(Miller and Schaetzl, 2011)"},"properties":{"noteIndex":0},"schema":"https://github.com/citation-style-language/schema/raw/master/csl-citation.json"}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 A. Miller &amp; Schaetzl, 2011)</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w:t>
      </w:r>
    </w:p>
    <w:p w14:paraId="7CA9EABC" w14:textId="77777777" w:rsidR="005826E2" w:rsidRPr="005826E2" w:rsidRDefault="005826E2" w:rsidP="005826E2">
      <w:pPr>
        <w:keepNext/>
        <w:keepLines/>
        <w:widowControl w:val="0"/>
        <w:spacing w:after="240" w:line="240" w:lineRule="auto"/>
        <w:outlineLvl w:val="2"/>
        <w:rPr>
          <w:rFonts w:ascii="Times New Roman" w:eastAsiaTheme="majorEastAsia" w:hAnsi="Times New Roman" w:cstheme="majorBidi"/>
          <w:b/>
          <w:color w:val="000000" w:themeColor="text1"/>
          <w:sz w:val="24"/>
          <w:szCs w:val="24"/>
        </w:rPr>
      </w:pPr>
      <w:bookmarkStart w:id="6" w:name="_Toc6834467"/>
      <w:r w:rsidRPr="005826E2">
        <w:rPr>
          <w:rFonts w:ascii="Times New Roman" w:eastAsiaTheme="majorEastAsia" w:hAnsi="Times New Roman" w:cstheme="majorBidi"/>
          <w:b/>
          <w:color w:val="000000" w:themeColor="text1"/>
          <w:sz w:val="24"/>
          <w:szCs w:val="24"/>
        </w:rPr>
        <w:t>Imagery</w:t>
      </w:r>
      <w:bookmarkEnd w:id="6"/>
    </w:p>
    <w:p w14:paraId="1D9F3BFD" w14:textId="77777777" w:rsidR="005826E2" w:rsidRPr="005826E2" w:rsidRDefault="005826E2" w:rsidP="005826E2">
      <w:pPr>
        <w:spacing w:after="0" w:line="480" w:lineRule="auto"/>
        <w:ind w:firstLine="720"/>
        <w:rPr>
          <w:rFonts w:ascii="Times New Roman" w:hAnsi="Times New Roman"/>
          <w:sz w:val="24"/>
        </w:rPr>
      </w:pPr>
      <w:r w:rsidRPr="005826E2">
        <w:rPr>
          <w:rFonts w:ascii="Times New Roman" w:hAnsi="Times New Roman"/>
          <w:color w:val="000000" w:themeColor="text1"/>
          <w:sz w:val="24"/>
        </w:rPr>
        <w:t>Our analysis was conducted using color infrared photographic imagery of western Iowa from 2009 and 2018 (</w:t>
      </w:r>
      <w:r w:rsidRPr="005826E2">
        <w:rPr>
          <w:rFonts w:ascii="Times New Roman" w:hAnsi="Times New Roman"/>
          <w:sz w:val="24"/>
        </w:rPr>
        <w:t>Iowa DNR, 2009 and 2018</w:t>
      </w:r>
      <w:r w:rsidRPr="005826E2">
        <w:rPr>
          <w:rFonts w:ascii="Times New Roman" w:hAnsi="Times New Roman"/>
          <w:color w:val="000000" w:themeColor="text1"/>
          <w:sz w:val="24"/>
        </w:rPr>
        <w:t xml:space="preserve">). The state of Iowa has conducted aerial photographic surveys for many recent years but has varied the season in which these surveys were conducted. The 2009 and 2018 imagery were selected because they are the two most recent surveys that were conducted during leaf-off conditions. Leaf-off conditions were desired because riparian tree cover limits the accuracy of both hand-delineation and AIMM methods. The 2009 survey was conducted by the Iowa DNR during the spring of 2009, with a Lecia ADS80-SH82 and ADS40-SH51 digital cameras at a flight height of </w:t>
      </w:r>
      <w:r w:rsidRPr="005826E2">
        <w:rPr>
          <w:rFonts w:ascii="Times New Roman" w:hAnsi="Times New Roman"/>
          <w:sz w:val="24"/>
        </w:rPr>
        <w:t xml:space="preserve">6100 m </w:t>
      </w:r>
      <w:proofErr w:type="spellStart"/>
      <w:r w:rsidRPr="005826E2">
        <w:rPr>
          <w:rFonts w:ascii="Times New Roman" w:hAnsi="Times New Roman"/>
          <w:sz w:val="24"/>
        </w:rPr>
        <w:t>agl</w:t>
      </w:r>
      <w:proofErr w:type="spellEnd"/>
      <w:r w:rsidRPr="005826E2">
        <w:rPr>
          <w:rFonts w:ascii="Times New Roman" w:hAnsi="Times New Roman"/>
          <w:sz w:val="24"/>
        </w:rPr>
        <w:t xml:space="preserve">. Images in </w:t>
      </w:r>
      <w:proofErr w:type="spellStart"/>
      <w:r w:rsidRPr="005826E2">
        <w:rPr>
          <w:rFonts w:ascii="Times New Roman" w:hAnsi="Times New Roman"/>
          <w:sz w:val="24"/>
        </w:rPr>
        <w:t>GeoTIFF</w:t>
      </w:r>
      <w:proofErr w:type="spellEnd"/>
      <w:r w:rsidRPr="005826E2">
        <w:rPr>
          <w:rFonts w:ascii="Times New Roman" w:hAnsi="Times New Roman"/>
          <w:sz w:val="24"/>
        </w:rPr>
        <w:t xml:space="preserve"> format were </w:t>
      </w:r>
      <w:proofErr w:type="spellStart"/>
      <w:r w:rsidRPr="005826E2">
        <w:rPr>
          <w:rFonts w:ascii="Times New Roman" w:hAnsi="Times New Roman"/>
          <w:sz w:val="24"/>
        </w:rPr>
        <w:t>georectified</w:t>
      </w:r>
      <w:proofErr w:type="spellEnd"/>
      <w:r w:rsidRPr="005826E2">
        <w:rPr>
          <w:rFonts w:ascii="Times New Roman" w:hAnsi="Times New Roman"/>
          <w:sz w:val="24"/>
        </w:rPr>
        <w:t xml:space="preserve">, cut into a tiled grid, and then converted to county mosaics in </w:t>
      </w:r>
      <w:proofErr w:type="spellStart"/>
      <w:r w:rsidRPr="005826E2">
        <w:rPr>
          <w:rFonts w:ascii="Times New Roman" w:hAnsi="Times New Roman"/>
          <w:sz w:val="24"/>
        </w:rPr>
        <w:t>MrSid</w:t>
      </w:r>
      <w:proofErr w:type="spellEnd"/>
      <w:r w:rsidRPr="005826E2">
        <w:rPr>
          <w:rFonts w:ascii="Times New Roman" w:hAnsi="Times New Roman"/>
          <w:sz w:val="24"/>
        </w:rPr>
        <w:t xml:space="preserve"> format with 0.61 m (2 ft) spatial resolution. The measured </w:t>
      </w:r>
      <w:r w:rsidRPr="005826E2">
        <w:rPr>
          <w:rFonts w:ascii="Times New Roman" w:hAnsi="Times New Roman"/>
          <w:color w:val="000000" w:themeColor="text1"/>
          <w:sz w:val="24"/>
        </w:rPr>
        <w:t>positional horizontal accuracy of these images is 3 m at a 95% confidence interval.</w:t>
      </w:r>
      <w:r w:rsidRPr="005826E2">
        <w:rPr>
          <w:rFonts w:ascii="Times New Roman" w:hAnsi="Times New Roman"/>
          <w:sz w:val="24"/>
        </w:rPr>
        <w:t xml:space="preserve"> The 2018 survey was conducted by </w:t>
      </w:r>
      <w:proofErr w:type="spellStart"/>
      <w:r w:rsidRPr="005826E2">
        <w:rPr>
          <w:rFonts w:ascii="Times New Roman" w:hAnsi="Times New Roman"/>
          <w:sz w:val="24"/>
        </w:rPr>
        <w:t>Surdex</w:t>
      </w:r>
      <w:proofErr w:type="spellEnd"/>
      <w:r w:rsidRPr="005826E2">
        <w:rPr>
          <w:rFonts w:ascii="Times New Roman" w:hAnsi="Times New Roman"/>
          <w:sz w:val="24"/>
        </w:rPr>
        <w:t xml:space="preserve"> on the behalf of the Iowa Department of Administrative Services between April 19th and May 5th with a Leica ADS100 Airborne Digital Sensor at a flight altitude of 3750 m </w:t>
      </w:r>
      <w:proofErr w:type="spellStart"/>
      <w:r w:rsidRPr="005826E2">
        <w:rPr>
          <w:rFonts w:ascii="Times New Roman" w:hAnsi="Times New Roman"/>
          <w:sz w:val="24"/>
        </w:rPr>
        <w:t>agl</w:t>
      </w:r>
      <w:proofErr w:type="spellEnd"/>
      <w:r w:rsidRPr="005826E2">
        <w:rPr>
          <w:rFonts w:ascii="Times New Roman" w:hAnsi="Times New Roman"/>
          <w:sz w:val="24"/>
        </w:rPr>
        <w:t xml:space="preserve">. The imagery was mosaiced from ADS100 imagery strips, corrected and orthorectified using </w:t>
      </w:r>
      <w:proofErr w:type="spellStart"/>
      <w:r w:rsidRPr="005826E2">
        <w:rPr>
          <w:rFonts w:ascii="Times New Roman" w:hAnsi="Times New Roman"/>
          <w:sz w:val="24"/>
        </w:rPr>
        <w:t>Surdex’s</w:t>
      </w:r>
      <w:proofErr w:type="spellEnd"/>
      <w:r w:rsidRPr="005826E2">
        <w:rPr>
          <w:rFonts w:ascii="Times New Roman" w:hAnsi="Times New Roman"/>
          <w:sz w:val="24"/>
        </w:rPr>
        <w:t xml:space="preserve"> proprietary “Grouping Tool”, and split into 1524 m by 1524 m </w:t>
      </w:r>
      <w:proofErr w:type="spellStart"/>
      <w:r w:rsidRPr="005826E2">
        <w:rPr>
          <w:rFonts w:ascii="Times New Roman" w:hAnsi="Times New Roman"/>
          <w:sz w:val="24"/>
        </w:rPr>
        <w:t>GeoTIFF</w:t>
      </w:r>
      <w:proofErr w:type="spellEnd"/>
      <w:r w:rsidRPr="005826E2">
        <w:rPr>
          <w:rFonts w:ascii="Times New Roman" w:hAnsi="Times New Roman"/>
          <w:sz w:val="24"/>
        </w:rPr>
        <w:t xml:space="preserve"> tiles with 0.30 m (1 ft) spatial resolution. The measured </w:t>
      </w:r>
      <w:r w:rsidRPr="005826E2">
        <w:rPr>
          <w:rFonts w:ascii="Times New Roman" w:hAnsi="Times New Roman"/>
          <w:color w:val="000000" w:themeColor="text1"/>
          <w:sz w:val="24"/>
        </w:rPr>
        <w:t>positional horizontal accuracy of these images is 0.61 m at a 95% confidence interval.</w:t>
      </w:r>
    </w:p>
    <w:p w14:paraId="00CD1EF9" w14:textId="77777777" w:rsidR="005826E2" w:rsidRPr="005826E2" w:rsidRDefault="005826E2" w:rsidP="005826E2">
      <w:pPr>
        <w:keepNext/>
        <w:keepLines/>
        <w:widowControl w:val="0"/>
        <w:spacing w:after="240" w:line="240" w:lineRule="auto"/>
        <w:outlineLvl w:val="2"/>
        <w:rPr>
          <w:rFonts w:ascii="Times New Roman" w:eastAsiaTheme="majorEastAsia" w:hAnsi="Times New Roman" w:cstheme="majorBidi"/>
          <w:b/>
          <w:color w:val="000000" w:themeColor="text1"/>
          <w:sz w:val="24"/>
          <w:szCs w:val="24"/>
        </w:rPr>
      </w:pPr>
      <w:bookmarkStart w:id="7" w:name="_Toc6834468"/>
      <w:r w:rsidRPr="005826E2">
        <w:rPr>
          <w:rFonts w:ascii="Times New Roman" w:eastAsiaTheme="majorEastAsia" w:hAnsi="Times New Roman" w:cstheme="majorBidi"/>
          <w:b/>
          <w:color w:val="000000" w:themeColor="text1"/>
          <w:sz w:val="24"/>
          <w:szCs w:val="24"/>
        </w:rPr>
        <w:lastRenderedPageBreak/>
        <w:t>AIMM</w:t>
      </w:r>
      <w:bookmarkEnd w:id="7"/>
    </w:p>
    <w:p w14:paraId="5829E390"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The AIMM model described in Chapter 2 was used to estimate the volume of sediment loss associated with the lateral migration of the Nishnabotna River System. When AIMM was run for the entire watershed however, it was found that a single NDWI threshold for the entire watershed over-generalized and did not produce reasonable results. To overcome this, each county was analyzed separately then combined for the final analysis. Training data was collected by obtaining a random selection of NDWI values that fell within a training mask of the watershed. This training mask was created by buffering stream centerlines, provided by the Iowa DNR, by stream order, with a width equal to the average stream width of each order respectively, as measured by our hand delineations. The training mask was used to balance the number of water and non-water pixels found within the training set.</w:t>
      </w:r>
    </w:p>
    <w:p w14:paraId="5A0BF27D" w14:textId="1922FA1E" w:rsidR="005826E2" w:rsidRPr="005826E2" w:rsidRDefault="005826E2" w:rsidP="005826E2">
      <w:pPr>
        <w:spacing w:after="0" w:line="480" w:lineRule="auto"/>
        <w:rPr>
          <w:rFonts w:ascii="Times New Roman" w:hAnsi="Times New Roman"/>
          <w:color w:val="000000" w:themeColor="text1"/>
          <w:sz w:val="24"/>
        </w:rPr>
      </w:pPr>
      <w:r w:rsidRPr="005826E2">
        <w:rPr>
          <w:rFonts w:ascii="Times New Roman" w:hAnsi="Times New Roman"/>
          <w:color w:val="000000" w:themeColor="text1"/>
          <w:sz w:val="24"/>
        </w:rPr>
        <w:tab/>
        <w:t>Stream reaches at the eighteen coring sites, along with an additional stratified random sample of eighteen reaches were hand-delineated in order to check the consistency of AIMM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_Ref4242779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3</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Due to inadequate spatial resolution of the imagery, high proportions of canopy cover, and low lateral migration rates, neither AIMM nor hand-delineations could reliably detect channel migration in reaches of order two or less. Consequently, these reaches were excluded from the analysis, lowering the total number of </w:t>
      </w:r>
      <w:proofErr w:type="gramStart"/>
      <w:r w:rsidRPr="005826E2">
        <w:rPr>
          <w:rFonts w:ascii="Times New Roman" w:hAnsi="Times New Roman"/>
          <w:color w:val="000000" w:themeColor="text1"/>
          <w:sz w:val="24"/>
        </w:rPr>
        <w:t>sample</w:t>
      </w:r>
      <w:proofErr w:type="gramEnd"/>
      <w:r w:rsidRPr="005826E2">
        <w:rPr>
          <w:rFonts w:ascii="Times New Roman" w:hAnsi="Times New Roman"/>
          <w:color w:val="000000" w:themeColor="text1"/>
          <w:sz w:val="24"/>
        </w:rPr>
        <w:t xml:space="preserve"> reaches to twenty-four, ranging in order from six to three. Hand delineation was conducted at a scale of 1:2000, in keeping with the methods of Tomer and Van Horn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10.2489/jswc.73.2.97","ISSN":"0022-4561","author":[{"dropping-particle":"","family":"Tomer","given":"M.D.","non-dropping-particle":"","parse-names":false,"suffix":""},{"dropping-particle":"","family":"Horn","given":"J.D.","non-dropping-particle":"Van","parse-names":false,"suffix":""}],"container-title":"Journal of Soil and Water Conservation","id":"ITEM-1","issue":"2","issued":{"date-parts":[["2018","3","1"]]},"page":"97-106","publisher":"Soil and Water Conservation Society","title":"Stream bank and sediment movement associated with 2008 flooding, South Fork Iowa River","type":"article-journal","volume":"73"},"uris":["http://www.mendeley.com/documents/?uuid=f8bae034-4626-3388-9169-a50e1742ab48"]}],"mendeley":{"formattedCitation":"(Tomer &amp; Van Horn, 2018)","plainTextFormattedCitation":"(Tomer &amp; Van Horn, 2018)","previouslyFormattedCitation":"(2018)"},"properties":{"noteIndex":0},"schema":"https://github.com/citation-style-language/schema/raw/master/csl-citation.json"}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(Tomer &amp; Van Horn, 2018)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The comparison of the hand-delineation results and AIMM’s results are reported in terms of percent agreement and Cohen’s Kappa for each reach, and a global average normalized to each order’s contribution to the total watershed erosion are reported. Percent agreement is equal to the percent of cells which were classified as the same category (stable land, stable </w:t>
      </w:r>
      <w:r w:rsidRPr="005826E2">
        <w:rPr>
          <w:rFonts w:ascii="Times New Roman" w:hAnsi="Times New Roman"/>
          <w:color w:val="000000" w:themeColor="text1"/>
          <w:sz w:val="24"/>
        </w:rPr>
        <w:lastRenderedPageBreak/>
        <w:t xml:space="preserve">channel, erosion, or deposition), and Cohen’s Kappa is a metric that is designed assess the amount of agreement between two classifications that are not likely due to chance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{"citationItems":[{"id":"ITEM-1","itemData":{"DOI":"10.1002/pst.1659","ISSN":"15391612","PMID":"25470361","abstract":"It is often of interest to measure the agreement between a number of raters when an outcome is nominal or ordinal. The kappa statistic is used as a measure of agreement. The statistic is highly sensitive to the distribution of the marginal totals and can produce unreliable results. Other statistics such as the proportion of concordance, maximum attainable kappa and prevalence and bias adjusted kappa should be considered to indicate how well the kappa statistic represents agreement in the data. Each kappa should be considered and interpreted based on the context of the data being analysed.","author":[{"dropping-particle":"","family":"Flight","given":"Laura","non-dropping-particle":"","parse-names":false,"suffix":""},{"dropping-particle":"","family":"Julious","given":"Steven A.","non-dropping-particle":"","parse-names":false,"suffix":""}],"container-title":"Pharmaceutical Statistics","id":"ITEM-1","issue":"1","issued":{"date-parts":[["2015"]]},"page":"74-78","title":"The disagreeable behaviour of the kappa statistic","type":"article-journal","volume":"14"},"uris":["http://www.mendeley.com/documents/?uuid=45f1afd6-d2de-4857-9d73-571ef71b906c"]}],"mendeley":{"formattedCitation":"(Flight &amp; Julious, 2015)","plainTextFormattedCitation":"(Flight &amp; Julious, 2015)","previouslyFormattedCitation":"(Flight and Julious, 2015)"},"properties":{"noteIndex":0},"schema":"https://github.com/citation-style-language/schema/raw/master/csl-citation.json"}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(Flight &amp; Julious, 2015)</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w:t>
      </w:r>
      <w:proofErr w:type="gramStart"/>
      <w:r w:rsidRPr="005826E2">
        <w:rPr>
          <w:rFonts w:ascii="Times New Roman" w:hAnsi="Times New Roman"/>
          <w:color w:val="000000" w:themeColor="text1"/>
          <w:sz w:val="24"/>
        </w:rPr>
        <w:t>Both of these</w:t>
      </w:r>
      <w:proofErr w:type="gramEnd"/>
      <w:r w:rsidRPr="005826E2">
        <w:rPr>
          <w:rFonts w:ascii="Times New Roman" w:hAnsi="Times New Roman"/>
          <w:color w:val="000000" w:themeColor="text1"/>
          <w:sz w:val="24"/>
        </w:rPr>
        <w:t xml:space="preserve"> statistics were calculated within a two-channel-width buffer surrounding the reach in questions. Net volume loss comparisons are presented in terms of percent deviation from the result of the delineation efforts and are grouped in the same manner.</w:t>
      </w:r>
    </w:p>
    <w:p w14:paraId="17628F49"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8" w:name="_Toc6834469"/>
      <w:r w:rsidRPr="005826E2">
        <w:rPr>
          <w:rFonts w:ascii="Times New Roman" w:eastAsiaTheme="majorEastAsia" w:hAnsi="Times New Roman" w:cstheme="majorBidi"/>
          <w:b/>
          <w:color w:val="000000" w:themeColor="text1"/>
          <w:sz w:val="24"/>
          <w:szCs w:val="26"/>
        </w:rPr>
        <w:t>Results</w:t>
      </w:r>
      <w:bookmarkEnd w:id="8"/>
    </w:p>
    <w:p w14:paraId="3B1FB03F"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Soil bulk density (n = 229) averaged 1.38 g/cm with a standard deviation of </w:t>
      </w:r>
      <w:r w:rsidRPr="005826E2">
        <w:rPr>
          <w:rFonts w:ascii="Times New Roman" w:hAnsi="Times New Roman" w:cs="Times New Roman"/>
          <w:color w:val="000000" w:themeColor="text1"/>
          <w:sz w:val="24"/>
        </w:rPr>
        <w:t>±</w:t>
      </w:r>
      <w:r w:rsidRPr="005826E2">
        <w:rPr>
          <w:rFonts w:ascii="Times New Roman" w:hAnsi="Times New Roman"/>
          <w:color w:val="000000" w:themeColor="text1"/>
          <w:sz w:val="24"/>
        </w:rPr>
        <w:t xml:space="preserve"> 0.2 g/cm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_Ref4242855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4</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Although bulk density varied slightly by stream order (1.30 – 1.46 g/cm), there was no consistent pattern in this variation, and all ordered averages fell within one standard deviation of each other. Due to this lack of a large variation between stream orders, the total average value for bulk density was used in conjunction with our volume analysis to estimate net sediment loss from eroding banks. Although the full results from our total P analysis are not yet available, results from our preliminary samples (n = 9) had total P concentrations of 474 mg/kg with a standard deviation of </w:t>
      </w:r>
      <w:r w:rsidRPr="005826E2">
        <w:rPr>
          <w:rFonts w:ascii="Times New Roman" w:hAnsi="Times New Roman" w:cs="Times New Roman"/>
          <w:color w:val="000000" w:themeColor="text1"/>
          <w:sz w:val="24"/>
        </w:rPr>
        <w:t>±</w:t>
      </w:r>
      <w:r w:rsidRPr="005826E2">
        <w:rPr>
          <w:rFonts w:ascii="Times New Roman" w:hAnsi="Times New Roman"/>
          <w:color w:val="000000" w:themeColor="text1"/>
          <w:sz w:val="24"/>
        </w:rPr>
        <w:t xml:space="preserve"> 117 mg/kg and were used for estimating P flux. </w:t>
      </w:r>
    </w:p>
    <w:p w14:paraId="49B93ABA" w14:textId="77777777" w:rsidR="005826E2" w:rsidRPr="005826E2" w:rsidRDefault="005826E2" w:rsidP="005826E2">
      <w:pPr>
        <w:spacing w:after="0" w:line="480" w:lineRule="auto"/>
        <w:rPr>
          <w:rFonts w:ascii="Times New Roman" w:hAnsi="Times New Roman"/>
          <w:color w:val="000000" w:themeColor="text1"/>
          <w:sz w:val="24"/>
        </w:rPr>
      </w:pPr>
      <w:r w:rsidRPr="005826E2">
        <w:rPr>
          <w:rFonts w:ascii="Times New Roman" w:hAnsi="Times New Roman"/>
          <w:color w:val="000000" w:themeColor="text1"/>
          <w:sz w:val="24"/>
        </w:rPr>
        <w:tab/>
        <w:t xml:space="preserve">In order to better understand the sources of disagreement between AIMM and hand delineation methods, we compared AIMM’s identification of the four change-detection categories (stable land, stable channel, erosion, and deposition), as well as its final estimate of eroded volume. For this comparison, all sites were grouped by order, normalized so that their influence upon the comparison results was proportional to the amount of net erosional volume each order contributed to the watershed. This ensured that contribution to our comparison statistics was proportional to each order’s influence within the watershed. Within a two-channel-width buffer of each delineation reach, AIMM and hand delineation agreed on </w:t>
      </w:r>
      <w:r w:rsidRPr="005826E2">
        <w:rPr>
          <w:rFonts w:ascii="Times New Roman" w:hAnsi="Times New Roman"/>
          <w:color w:val="000000" w:themeColor="text1"/>
          <w:sz w:val="24"/>
        </w:rPr>
        <w:lastRenderedPageBreak/>
        <w:t>pixel values 85% of the time with an inter-operator Cohen’s K coefficient of 0.71. As expected, agreement and K increased with stream order. Agreement for sixth and third order reaches were 89% and 78% respectively, while K values were 0.79 and 0.52 respectively. Overall, these differences represented a -6%, 134%, -13%, and 7% difference between AIMM and hand delineation for the pixel classes stable land, deposition, erosion, and stable channel respectively. A large portion of the difference in the deposition pixel counts can however be attributed to erroneous off-channel zones of deposition that were removed when all zones that did not intersect a channel width buffer of our stream layer were eliminated as part of our volume analysis.</w:t>
      </w:r>
    </w:p>
    <w:p w14:paraId="620EC33E" w14:textId="77777777" w:rsidR="005826E2" w:rsidRPr="005826E2" w:rsidRDefault="005826E2" w:rsidP="005826E2">
      <w:pPr>
        <w:spacing w:after="0" w:line="480" w:lineRule="auto"/>
        <w:rPr>
          <w:rFonts w:ascii="Times New Roman" w:hAnsi="Times New Roman"/>
          <w:color w:val="000000" w:themeColor="text1"/>
          <w:sz w:val="24"/>
        </w:rPr>
      </w:pPr>
      <w:r w:rsidRPr="005826E2">
        <w:rPr>
          <w:rFonts w:ascii="Times New Roman" w:hAnsi="Times New Roman"/>
          <w:color w:val="000000" w:themeColor="text1"/>
          <w:sz w:val="24"/>
        </w:rPr>
        <w:tab/>
        <w:t>When combined and normalized, AIMM predicted 7% less net volume loss than hand-delineation methods within our 24 test reaches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_Ref4242907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Table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1</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Most of this disagreement was within third order reaches, where AIMM predicted 99% less volume loss than was predicted by hand delineation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_Ref4242933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5</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_Ref4242949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6</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Since both methods are prone to higher error as channel sizes decrease, and our 24 sample sites represent a smaller proportion of total third-order channel length however, it is unsurprising that the methods began to diverge when third-order streams were considered. When only orders six through four are consider, there is only a 1% difference in net volume estimates, but we have decided to keep third-order results in our analysis since we believe that a 7% difference in net eroded volume is still a reasonable amount of disagreement.</w:t>
      </w:r>
    </w:p>
    <w:p w14:paraId="6B64FAE9" w14:textId="77777777" w:rsidR="005826E2" w:rsidRPr="005826E2" w:rsidRDefault="005826E2" w:rsidP="005826E2">
      <w:pPr>
        <w:spacing w:after="0" w:line="480" w:lineRule="auto"/>
        <w:rPr>
          <w:rFonts w:ascii="Times New Roman" w:hAnsi="Times New Roman"/>
          <w:color w:val="000000" w:themeColor="text1"/>
          <w:sz w:val="24"/>
        </w:rPr>
      </w:pPr>
      <w:r w:rsidRPr="005826E2">
        <w:rPr>
          <w:rFonts w:ascii="Times New Roman" w:hAnsi="Times New Roman"/>
          <w:color w:val="000000" w:themeColor="text1"/>
          <w:sz w:val="24"/>
        </w:rPr>
        <w:tab/>
        <w:t>Overall, AIMM predicted 5.7x10</w:t>
      </w:r>
      <w:r w:rsidRPr="005826E2">
        <w:rPr>
          <w:rFonts w:ascii="Times New Roman" w:hAnsi="Times New Roman"/>
          <w:color w:val="000000" w:themeColor="text1"/>
          <w:sz w:val="24"/>
          <w:vertAlign w:val="superscript"/>
        </w:rPr>
        <w:t>6</w:t>
      </w:r>
      <w:r w:rsidRPr="005826E2">
        <w:rPr>
          <w:rFonts w:ascii="Times New Roman" w:hAnsi="Times New Roman"/>
          <w:color w:val="000000" w:themeColor="text1"/>
          <w:sz w:val="24"/>
        </w:rPr>
        <w:t xml:space="preserve"> m</w:t>
      </w:r>
      <w:r w:rsidRPr="005826E2">
        <w:rPr>
          <w:rFonts w:ascii="Times New Roman" w:hAnsi="Times New Roman"/>
          <w:color w:val="000000" w:themeColor="text1"/>
          <w:sz w:val="24"/>
          <w:vertAlign w:val="superscript"/>
        </w:rPr>
        <w:t>3</w:t>
      </w:r>
      <w:r w:rsidRPr="005826E2">
        <w:rPr>
          <w:rFonts w:ascii="Times New Roman" w:hAnsi="Times New Roman"/>
          <w:color w:val="000000" w:themeColor="text1"/>
          <w:sz w:val="24"/>
        </w:rPr>
        <w:t xml:space="preserve"> of net volume loss between 2009 and 2018 within the Nishnabotna watershed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_Ref4242978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Table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2</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This represents 0.27 m</w:t>
      </w:r>
      <w:r w:rsidRPr="005826E2">
        <w:rPr>
          <w:rFonts w:ascii="Times New Roman" w:hAnsi="Times New Roman"/>
          <w:color w:val="000000" w:themeColor="text1"/>
          <w:sz w:val="24"/>
          <w:vertAlign w:val="superscript"/>
        </w:rPr>
        <w:t>3</w:t>
      </w:r>
      <w:r w:rsidRPr="005826E2">
        <w:rPr>
          <w:rFonts w:ascii="Times New Roman" w:hAnsi="Times New Roman"/>
          <w:color w:val="000000" w:themeColor="text1"/>
          <w:sz w:val="24"/>
        </w:rPr>
        <w:t xml:space="preserve"> 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of volume loss per meter of channel length. Interestingly, although the third, fourth, and fifth order channels made up 89% of the total channel length analyzed, only 37% of the net volume loss was </w:t>
      </w:r>
      <w:r w:rsidRPr="005826E2">
        <w:rPr>
          <w:rFonts w:ascii="Times New Roman" w:hAnsi="Times New Roman"/>
          <w:color w:val="000000" w:themeColor="text1"/>
          <w:sz w:val="24"/>
        </w:rPr>
        <w:lastRenderedPageBreak/>
        <w:t>found within these orders. In contrast, the sixth order reach contained only 11% of the total length, but 63% of the volume loss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_Ref4243019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7</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This is likely due to the large increase in stream power and bank height that is associated with increases in order. Although it was expected that higher orders would have a greater volume of erosion per unit length, the fact that this relationship is still robust when the total length of each order is considered is surprising. This inverse relationship between total channel length and volumetric contribution amongst orders is a key finding of this study that could have important management implications.</w:t>
      </w:r>
    </w:p>
    <w:p w14:paraId="1BFAB13C" w14:textId="77777777" w:rsidR="005826E2" w:rsidRPr="005826E2" w:rsidRDefault="005826E2" w:rsidP="005826E2">
      <w:pPr>
        <w:spacing w:after="0" w:line="480" w:lineRule="auto"/>
        <w:rPr>
          <w:rFonts w:ascii="Times New Roman" w:hAnsi="Times New Roman"/>
          <w:color w:val="000000" w:themeColor="text1"/>
          <w:sz w:val="24"/>
        </w:rPr>
      </w:pPr>
      <w:r w:rsidRPr="005826E2">
        <w:rPr>
          <w:rFonts w:ascii="Times New Roman" w:hAnsi="Times New Roman"/>
          <w:color w:val="000000" w:themeColor="text1"/>
          <w:sz w:val="24"/>
        </w:rPr>
        <w:tab/>
        <w:t>Since there were no identified variations in bulk density or TP concentration associated with stream order, global averages were used to calculate sediment and TP contributions per unit length. This study found that 0.38 tons of sediment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and 0.18 kg of P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were contributed to the Nishnabotna watershed due to the net loss of floodplain volume associated with channel migration within channels of order three and above.</w:t>
      </w:r>
    </w:p>
    <w:p w14:paraId="7B6E168C"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9" w:name="_Toc6834470"/>
      <w:r w:rsidRPr="005826E2">
        <w:rPr>
          <w:rFonts w:ascii="Times New Roman" w:eastAsiaTheme="majorEastAsia" w:hAnsi="Times New Roman" w:cstheme="majorBidi"/>
          <w:b/>
          <w:color w:val="000000" w:themeColor="text1"/>
          <w:sz w:val="24"/>
          <w:szCs w:val="26"/>
        </w:rPr>
        <w:t>Discussion</w:t>
      </w:r>
      <w:bookmarkEnd w:id="9"/>
    </w:p>
    <w:p w14:paraId="4963EB33" w14:textId="0F0BAC2F"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We found that within the Nishnabotna watershed, sediment and TP loading rates associated with net bank erosion (volume of bank erosion less the volume of deposition) were equal to 0.38 tons of sediment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and 0.18 kg of P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between the years of 2009 and 2018. We found that our average bulk density values conformed well with recent studies involving these members, but we did find less variation between the individual members than has been found in previous studies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{"citationItems":[{"id":"ITEM-1","itemData":{"DOI":"10.3390/w10020111","ISSN":"20734441","abstract":"© 2018 by the authors. Licensee MDPI, Basel, Switzerland. Streambank erosion may represent a significant source of sediment and phosphorus (P) to overall watershed loads; however, watershed-scale quantification of contributions is rare. In addition, streambanks are often comprised of highly va riable stratigraphic source materials (e.g., alluvial deposits), which may differentially impact in-channel P dynamics once eroded. The objective of this study was to quantify sediment and total phosphorus (TP) losses from four materials comprising streambanks within a 5218 ha watershed in Iowa, USA. Streambank-face surveys, erosion pins, and soil analyses were used to quantify surface area representation, recession, and losses of sediment and TP over a two-year period. Cumulative, whole-bank gross mean recession totaled 18.6 cm over two years, and material-specific gross mean recession ranged from 15.5 to 64.1 cm. Cumulative, whole-bank mean gross mass losses totaled 0.28 Mg sediment and 0.7 × 10 −5 Mg TP per meter channel length. Annual sediment losses equated to 4–44% of historic suspended sediment loads. Stratigraphy was significant in gross material erosion and losses, with lower materials (i.e., bank toe region) exhibiting the greatest recession rates and cumulative recession. Weathered/colluvial material dominated total bank face surface area (88.3%), and contributed the greatest proportion of sediment and TP mass loss (66, 68%, respectively) versus other streambank materials.","author":[{"dropping-particle":"","family":"Beck","given":"William","non-dropping-particle":"","parse-names":false,"suffix":""},{"dropping-particle":"","family":"Isenhart","given":"Thomas","non-dropping-particle":"","parse-names":false,"suffix":""},{"dropping-particle":"","family":"Moore","given":"Peter","non-dropping-particle":"","parse-names":false,"suffix":""},{"dropping-particle":"","family":"Schilling","given":"Keith","non-dropping-particle":"","parse-names":false,"suffix":""},{"dropping-particle":"","family":"Schultz","given":"Richard","non-dropping-particle":"","parse-names":false,"suffix":""},{"dropping-particle":"","family":"Tomer","given":"Mark","non-dropping-particle":"","parse-names":false,"suffix":""}],"container-title":"Water (Switzerland)","id":"ITEM-1","issue":"2","issued":{"date-parts":[["2018"]]},"title":"Streambank alluvial unit contributions to suspended sediment and total phosphorus loads, walnut Creek, Iowa, USA","type":"article-journal","volume":"10"},"uris":["http://www.mendeley.com/documents/?uuid=106d478f-ab07-3e7f-961f-20f83054b5bf"]}],"mendeley":{"formattedCitation":"(Beck et al., 2018)","plainTextFormattedCitation":"(Beck et al., 2018)","previouslyFormattedCitation":"(Beck et al., 2018b)"},"properties":{"noteIndex":0},"schema":"https://github.com/citation-style-language/schema/raw/master/csl-citation.json"}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(Beck et al., 2018)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This however could be attributed to both differing methodologies, and spatial variations. Also, although our TP results are only preliminary it is interesting to note that TP concentrations were found to be double the average value found by </w:t>
      </w:r>
      <w:r w:rsidRPr="005826E2">
        <w:rPr>
          <w:rFonts w:ascii="Times New Roman" w:hAnsi="Times New Roman"/>
          <w:color w:val="000000" w:themeColor="text1"/>
          <w:sz w:val="24"/>
        </w:rPr>
        <w:fldChar w:fldCharType="begin" w:fldLock="1"/>
      </w:r>
      <w:r w:rsidRPr="005826E2">
        <w:rPr>
          <w:rFonts w:ascii="Times New Roman" w:hAnsi="Times New Roman"/>
          <w:color w:val="000000" w:themeColor="text1"/>
          <w:sz w:val="24"/>
        </w:rPr>
        <w:instrText>ADDIN CSL_CITATION {"citationItems":[{"id":"ITEM-1","itemData":{"DOI":"10.1016/j.jenvman.2016.06.071","ISBN":"9783319212449","ISSN":"10958630","PMID":"27429360","abstract":"Sediment and phosphorus (P) are two primary pollutants of surface waters. Many studies have investigated loadings from upland sources or even streambed sediment, but in many cases, limited to no data exist to determine sediment and P loading from streambanks on a watershed scale. The objectives of this paper are to review the current knowledge base on streambank erosion and failure mechanisms, streambank P concentrations, and streambanks as P loading sources and then also to identify future research needs on this topic. In many watersheds, long-term loading of soil and associated P to stream systems has created a source of eroded soil and P that may interact with streambank sediment and be deposited in floodplains downstream. In many cases streambanks were formed from previously eroded and deposited alluvial material and so the resulting soils possess unique physical and chemical properties from adjacent upland soils. Streambank sediment and P loading rates depend explicitly on the rate of streambank migration and the concentration of P stored within bank materials. From the survey of literature, previous studies report streambank total P concentrations that consistently exceeded 250 mg kg−1 soil. Only a few studies also reported water soluble or extractable P concentrations. More research should be devoted to understanding the dynamic processes between different P pools (total P versus bioavailable P), and sorption or desorption processes under varying hydraulic and stream chemistry conditions. Furthermore, the literature reported that streambank erosion and failure and gully erosion were reported to account for 7–92% of the suspended sediment load within a channel and 6–93% of total P. However, significant uncertainty can occur in such estimates due to reach-scale variability in streambank migration rates and future estimates should consider the use of uncertainty analysis approaches. Research is also needed on the transport rates of dissolved and sediment-bound P through the entire stream system of a watershed to identify critical upland and/or near-stream conservation practices. Extensive monitoring of the impact of restoration/rehabilitation efforts on reducing sediment and P loading are limited. From an application standpoint, streambank P contributions to streams should be more explicitly accounted for in developing total maximum daily loads in watersheds.","author":[{"dropping-particle":"","family":"Fox","given":"Garey A.","non-dropping-particle":"","parse-names":false,"suffix":""},{"dropping-particle":"","family":"Purvis","given":"Rebecca A.","non-dropping-particle":"","parse-names":false,"suffix":""},{"dropping-particle":"","family":"Penn","given":"Chad J.","non-dropping-particle":"","parse-names":false,"suffix":""}],"container-title":"Journal of Environmental Management","id":"ITEM-1","issued":{"date-parts":[["2016","10","1"]]},"page":"602-614","publisher":"Academic Press","title":"Streambanks: A net source of sediment and phosphorus to streams and rivers","type":"article","volume":"181"},"uris":["http://www.mendeley.com/documents/?uuid=9e90193d-5acd-3fdd-84f2-a527df326ee8"]}],"mendeley":{"formattedCitation":"(Fox et al., 2016b)","plainTextFormattedCitation":"(Fox et al., 2016b)","previouslyFormattedCitation":"(Fox et al., 2016b)"},"properties":{"noteIndex":0},"schema":"https://github.com/citation-style-language/schema/raw/master/csl-citation.json"}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(Fox et al., 2016b)</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or by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{"citationItems":[{"id":"ITEM-1","itemData":{"DOI":"10.3390/w10020111","ISSN":"20734441","abstract":"© 2018 by the authors. Licensee MDPI, Basel, Switzerland. Streambank erosion may represent a significant source of sediment and phosphorus (P) to overall watershed loads; however, watershed-scale quantification of contributions is rare. In addition, streambanks are often comprised of highly va riable stratigraphic source materials (e.g., alluvial deposits), which may differentially impact in-channel P dynamics once eroded. The objective of this study was to quantify sediment and total phosphorus (TP) losses from four materials comprising streambanks within a 5218 ha watershed in Iowa, USA. Streambank-face surveys, erosion pins, and soil analyses were used to quantify surface area representation, recession, and losses of sediment and TP over a two-year period. Cumulative, whole-bank gross mean recession totaled 18.6 cm over two years, and material-specific gross mean recession ranged from 15.5 to 64.1 cm. Cumulative, whole-bank mean gross mass losses totaled 0.28 Mg sediment and 0.7 × 10 −5 Mg TP per meter channel length. Annual sediment losses equated to 4–44% of historic suspended sediment loads. Stratigraphy was significant in gross material erosion and losses, with lower materials (i.e., bank toe region) exhibiting the greatest recession rates and cumulative recession. Weathered/colluvial material dominated total bank face surface area (88.3%), and contributed the greatest proportion of sediment and TP mass loss (66, 68%, respectively) versus other streambank materials.","author":[{"dropping-particle":"","family":"Beck","given":"William","non-dropping-particle":"","parse-names":false,"suffix":""},{"dropping-particle":"","family":"Isenhart","given":"Thomas","non-dropping-particle":"","parse-names":false,"suffix":""},{"dropping-particle":"","family":"Moore","given":"Peter","non-dropping-particle":"","parse-names":false,"suffix":""},{"dropping-particle":"","family":"Schilling","given":"Keith","non-dropping-particle":"","parse-names":false,"suffix":""},{"dropping-particle":"","family":"Schultz","given":"Richard","non-dropping-particle":"","parse-names":false,"suffix":""},{"dropping-particle":"","family":"Tomer","given":"Mark","non-dropping-particle":"","parse-names":false,"suffix":""}],"container-title":"Water (Switzerland)","id":"ITEM-1","issue":"2","issued":{"date-parts":[["2018"]]},"title":"Streambank alluvial unit contributions to suspended sediment and total phosphorus loads, walnut Creek, Iowa, USA","type":"article-journal","volume":"10"},"uris":["http://www.mendeley.com/documents/?uuid=106d478f-ab07-3e7f-961f-20f83054b5bf"]}],"mendeley":{"formattedCitation":"(Beck et al., 2018)","plainTextFormattedCitation":"(Beck et al., 2018)","previouslyFormattedCitation":"(Beck et al., 2018b)"},"properties":{"noteIndex":0},"schema":"https://github.com/citation-style-language/schema/raw/master/csl-citation.json"}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(Beck et al., 2018)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for streambank material. Especially since our preliminary samples were taken from the Robert’s </w:t>
      </w:r>
      <w:r w:rsidRPr="005826E2">
        <w:rPr>
          <w:rFonts w:ascii="Times New Roman" w:hAnsi="Times New Roman"/>
          <w:color w:val="000000" w:themeColor="text1"/>
          <w:sz w:val="24"/>
        </w:rPr>
        <w:lastRenderedPageBreak/>
        <w:t xml:space="preserve">and Camp Creek members, which were found to have the lower TP values of the three primary members by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{"citationItems":[{"id":"ITEM-1","itemData":{"DOI":"10.3390/w10020111","ISSN":"20734441","abstract":"© 2018 by the authors. Licensee MDPI, Basel, Switzerland. Streambank erosion may represent a significant source of sediment and phosphorus (P) to overall watershed loads; however, watershed-scale quantification of contributions is rare. In addition, streambanks are often comprised of highly va riable stratigraphic source materials (e.g., alluvial deposits), which may differentially impact in-channel P dynamics once eroded. The objective of this study was to quantify sediment and total phosphorus (TP) losses from four materials comprising streambanks within a 5218 ha watershed in Iowa, USA. Streambank-face surveys, erosion pins, and soil analyses were used to quantify surface area representation, recession, and losses of sediment and TP over a two-year period. Cumulative, whole-bank gross mean recession totaled 18.6 cm over two years, and material-specific gross mean recession ranged from 15.5 to 64.1 cm. Cumulative, whole-bank mean gross mass losses totaled 0.28 Mg sediment and 0.7 × 10 −5 Mg TP per meter channel length. Annual sediment losses equated to 4–44% of historic suspended sediment loads. Stratigraphy was significant in gross material erosion and losses, with lower materials (i.e., bank toe region) exhibiting the greatest recession rates and cumulative recession. Weathered/colluvial material dominated total bank face surface area (88.3%), and contributed the greatest proportion of sediment and TP mass loss (66, 68%, respectively) versus other streambank materials.","author":[{"dropping-particle":"","family":"Beck","given":"William","non-dropping-particle":"","parse-names":false,"suffix":""},{"dropping-particle":"","family":"Isenhart","given":"Thomas","non-dropping-particle":"","parse-names":false,"suffix":""},{"dropping-particle":"","family":"Moore","given":"Peter","non-dropping-particle":"","parse-names":false,"suffix":""},{"dropping-particle":"","family":"Schilling","given":"Keith","non-dropping-particle":"","parse-names":false,"suffix":""},{"dropping-particle":"","family":"Schultz","given":"Richard","non-dropping-particle":"","parse-names":false,"suffix":""},{"dropping-particle":"","family":"Tomer","given":"Mark","non-dropping-particle":"","parse-names":false,"suffix":""}],"container-title":"Water (Switzerland)","id":"ITEM-1","issue":"2","issued":{"date-parts":[["2018"]]},"title":"Streambank alluvial unit contributions to suspended sediment and total phosphorus loads, walnut Creek, Iowa, USA","type":"article-journal","volume":"10"},"uris":["http://www.mendeley.com/documents/?uuid=106d478f-ab07-3e7f-961f-20f83054b5bf"]}],"mendeley":{"formattedCitation":"(Beck et al., 2018)","plainTextFormattedCitation":"(Beck et al., 2018)","previouslyFormattedCitation":"(Beck et al., 2018b)"},"properties":{"noteIndex":0},"schema":"https://github.com/citation-style-language/schema/raw/master/csl-citation.json"}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(Beck et al., 2018)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w:t>
      </w:r>
    </w:p>
    <w:p w14:paraId="1942E490" w14:textId="6EE7B52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 Also, since previous studies which do not often account for channel accretion when calculating input from eroding banks, we would also to like to highlight the contribution of eroding banks when accretion is not considered. When only erosive input is considered, our approach estimates total P inputs to be 0.27 kg P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This result is comparable, albeit higher than the values reported in previous studies </w:t>
      </w:r>
      <w:r w:rsidRPr="005826E2">
        <w:rPr>
          <w:rFonts w:ascii="Times New Roman" w:hAnsi="Times New Roman"/>
          <w:color w:val="000000" w:themeColor="text1"/>
          <w:sz w:val="24"/>
        </w:rPr>
        <w:fldChar w:fldCharType="begin" w:fldLock="1"/>
      </w:r>
      <w:r>
        <w:rPr>
          <w:rFonts w:ascii="Times New Roman" w:hAnsi="Times New Roman"/>
          <w:color w:val="000000" w:themeColor="text1"/>
          <w:sz w:val="24"/>
        </w:rPr>
        <w:instrText>ADDIN CSL_CITATION {"citationItems":[{"id":"ITEM-1","itemData":{"ISSN":"0022-4561","abstract":"Suspended sediment transported in river systems has the ability to degrade water quality and impart negative impacts downstream as material is deposited. This study examines the significance of valley wall slumping as a source of both suspended sediment and phosphorus in the Blue Earth River. Several streambanks on the Blue Earth River in south central Minnesota were repeatedly surveyed from 1997 to 2000 to determine annual rates of streambank slumping. Volumetric changes between digital elevation models from successive topographic surveys were converted into changes in mass, and, subsequently, annual erosion rates were calculated based on surface area. An erosion rate constant was derived based on surface area of surveyed sites and applied to an inventory of eroding escarpments along the entire river to estimate the contribution of streambank slumping to the total suspended sediment (TSS) and total phosphorus (TP) loads in the Blue Earth River. Erosion rates for surveyed sites ranged from 544 to 3,995 t ha-1 yr-1 (242 to 1,782 tons ac-1 yr-1), with an average rate of 2,154 t ha-1 yr-1 (961 tons ac-1 yr-1). The derived erosion rate constant for slumping sites was 0.23 t m-2 yr-1 (0.024 tons ft-2 yr-1). Between 75,804 and 106,213 t (83,536 to 117,047 U.S. tons) of sediment is delivered to the river annually from all eroding escarpments inventoried, with between 28,047 and 39,299 t (30,908 and 43,307 U.S. tons) transported by flow as TSS. Streambank slumping accounts for 31% to 44% of the TSS load at the mouth of the Blue Earth River. The percentage of the TP load originating from streambank slumping is estimated to be from 7% to 10%, with annual contributions of 12 to 17 t P (14 to 19 U.S. tons).","author":[{"dropping-particle":"","family":"Sekely","given":"Adam C.","non-dropping-particle":"","parse-names":false,"suffix":""},{"dropping-particle":"","family":"Mulla","given":"David J.","non-dropping-particle":"","parse-names":false,"suffix":""},{"dropping-particle":"","family":"Bauer","given":"D. W.","non-dropping-particle":"","parse-names":false,"suffix":""}],"container-title":"Journal of Soil and Water Conservation","id":"ITEM-1","issue":"October","issued":{"date-parts":[["2002"]]},"note":"NULL","page":"243-250","title":"Streambank slumping and its contribution to the phosphorus and suspended sediment loads of the Blue Earth River, Minnesota","type":"article-journal","volume":"57"},"uris":["http://www.mendeley.com/documents/?uuid=6262e724-4291-4022-9749-4fbf187014e4"]},{"id":"ITEM-2","itemData":{"DOI":"10.2134/jeq2010.0434","ISBN":"10.2134/jeq2010.0434","ISSN":"0047-2425","PMID":"22370392","abstract":"Phosphorus loss from bank erosion was studied in the catchment of River Odense, a lowland Danish river basin, with the aim of testing the hypothesis of whether stream banks act as major diffuse phosphorus (P) sources at catchment scale. Furthermore, the study aimed at analyzing the impact of different factors influencing bank erosion and P loss such as stream order, anthropogenic disturbances, width of uncultivated buffer strips, and the vegetation of buffer strips. A random stratified procedure in geographical information system (GIS) was used to select two replicate stream reaches covering different stream orders, channelized vs. naturally meandering channels, width of uncultivated buffer strips (≤ 2 m and ≥ 10 m), and buffer strips with different vegetation types. Thirty-six 100-m stream reaches with 180 bank plots and a total of 3000 erosion pins were established in autumn 2006, and readings were conducted during a 3-yr period (2006-2009). The results show that neither stream size nor stream disturbance measured as channelization of channel or the width of uncultivated buffer strip had any significant ( &lt; 0.05) influence on bank erosion and P losses during each of the 3 yr studied. In buffer strips with natural trees bank erosion was significantly ( &lt; 0.05) lower than in buffer strips dominated by grass and herbs. Gross and net P input from bank erosion amounted to 13.8 to 16.5 and 2.4 to 6.3 t P, respectively, in the River Odense catchment during the three study years. The net P input from bank erosion equaled 17 to 29% of the annual total P export and 21 to 62% of the annual export of P from diffuse sources from the River Odense catchment. Most of the exported total P was found to be bioavailable (71.7%) based on a P speciation of monthly suspended sediment samples collected at the outlet of the river basin. The results found in this study have a great importance for managers working with P mitigation and modeling at catchment scale.","author":[{"dropping-particle":"","family":"Kronvang","given":"Brian","non-dropping-particle":"","parse-names":false,"suffix":""},{"dropping-particle":"","family":"Audet","given":"Joachim","non-dropping-particle":"","parse-names":false,"suffix":""},{"dropping-particle":"","family":"Baattrup-Pedersen","given":"Annette","non-dropping-particle":"","parse-names":false,"suffix":""},{"dropping-particle":"","family":"Jensen","given":"Henning S","non-dropping-particle":"","parse-names":false,"suffix":""},{"dropping-particle":"","family":"Larsen","given":"Søren E","non-dropping-particle":"","parse-names":false,"suffix":""}],"container-title":"Journal of environmental quality","id":"ITEM-2","issue":"2","issued":{"date-parts":[["2012"]]},"note":"NULL","page":"304-13","title":"Phosphorus load to surface water from bank erosion in a Danish lowland river basin.","type":"article-journal","volume":"41"},"uris":["http://www.mendeley.com/documents/?uuid=f4f7252b-2fce-4665-825a-0c0708d4bfcc"]},{"id":"ITEM-3","itemData":{"DOI":"10.1016/J.AGEE.2014.03.016","ISSN":"0167-8809","abstract":"In some watersheds, the majority of the total sediment load to streams and rivers is from streambanks, but insufficient data exist on actual loading from this source and the potential protective effect of riparian protection in many watersheds. Using aerial imagery, video reconnaissance for unstable banks, and streambank phosphorus (P) sampling, this research studied streambanks throughout the Barren Fork Creek (BFC) watershed within Oklahoma to address four major objectives: (i) quantify the amount of streambank erosion and failure throughout the watershed, (ii) quantify the magnitude and the intra-site and inter-site spatial variability in streambank soil chemistry, water soluble phosphorus (WSP), and total phosphorus (TP), (iii) quantify the load of WSP and TP from streambanks in the watershed, and (iv) estimate the benefit of riparian management practices. Ten streambank study sites were selected on BFC, including seven sites with existing or historic riparian forest (historically protected, HP), and three with no riparian forest (historically unprotected, HUP). Median and mean streambank migration rates were 9.5 and 17.5m for the HP sites compared to 37.6 and 49.2m for the three HUP sites over the seven year period. Total WSP from streambanks on BFC from unprotected and failing banks was approximately 1.2×103kgyr−1, which represented approximately 10% of the dissolved P load estimated from USGS gauges on BFC. The estimated TP load was approximately 9.0×104kgTPyr−1, which exceeded the TP load estimated from gauge data, although TP is largely sediment-bound and thus subject to sediment transport dynamics such as floodplain deposition. Streambanks represented a considerable source of P, and riparian forest sites showed significantly lower rates of retreat. The methodology of using detailed P characterization, lateral retreat rates from aerial photography, and video reconnaissance to characterize bank stability was an effective approach for assessing the WSP and TP load contribution from streambanks.","author":[{"dropping-particle":"","family":"Miller","given":"Ronald B.","non-dropping-particle":"","parse-names":false,"suffix":""},{"dropping-particle":"","family":"Fox","given":"Garey A.","non-dropping-particle":"","parse-names":false,"suffix":""},{"dropping-particle":"","family":"Penn","given":"Chad J.","non-dropping-particle":"","parse-names":false,"suffix":""},{"dropping-particle":"","family":"Wilson","given":"Stuart","non-dropping-particle":"","parse-names":false,"suffix":""},{"dropping-particle":"","family":"Parnell","given":"Abigail","non-dropping-particle":"","parse-names":false,"suffix":""},{"dropping-particle":"","family":"Purvis","given":"Rebecca A.","non-dropping-particle":"","parse-names":false,"suffix":""},{"dropping-particle":"","family":"Criswell","given":"Kelsey","non-dropping-particle":"","parse-names":false,"suffix":""}],"container-title":"Agriculture, Ecosystems &amp; Environment","id":"ITEM-3","issued":{"date-parts":[["2014","5","1"]]},"page":"70-81","publisher":"Elsevier","title":"Estimating sediment and phosphorus loads from streambanks with and without riparian protection","type":"article-journal","volume":"189"},"uris":["http://www.mendeley.com/documents/?uuid=85077f8c-ba54-386d-bfcd-25412f95aa8d"]},{"id":"ITEM-4","itemData":{"DOI":"10.1002/esp.3901","ISSN":"10969837","abstract":"Streambank erosion is a pathway for sediment and nutrient loading to streams, but insufficient data exist on the magnitude of this source. Riparian protection can significantly decrease streambank erosion in some locations, but estimates of actual sediment load reductions are limited. The objective of this research was to quantify watershed-scale streambank erosion and estimate the benefits of riparian protection. The research focused on Spavinaw Creek within the Eucha-Spavinaw watershed in eastern Oklahoma, where composite streambanks consist of a small cohesive topsoil layer underlain by non-cohesive gravel. Fine sediment erosion from 2003 to 2013 was derived using aerial photography and processed in ArcMap to quantify eroded area. ArcMap was also utilized in determining the bank retreat rate at various locations in relation to the riparian vegetation buffer width. Box and whisker plots clearly showed that sites with riparian vegetation had on average three times less bank retreat than unprotected banks, statistically significant based on non-parametric t-tests. The total soil mass eroded from 2003 to 2013 was estimated at 7.27 × 107 kg yr.−1, and the average bank retreat was 2.5 m yr.−1. Many current erosion models assume that fluvial erosion is the dominant stream erosion process. Bank retreat was positively correlated with stream discharge and/or stream power, but with considerable variability, suggesting that mass wasting plays an important role in streambank erosion within this watershed. Finally, watershed monitoring programs commonly characterize erosion at only a few sites and may scale results to the entire watershed. Selection of random sites and scaling to the watershed scale greatly underestimated the actual erosion and loading rates. Copyright © 2016 John Wiley &amp; Sons, Ltd.","author":[{"dropping-particle":"","family":"Purvis","given":"Rebecca A.","non-dropping-particle":"","parse-names":false,"suffix":""},{"dropping-particle":"","family":"Fox","given":"Garey A.","non-dropping-particle":"","parse-names":false,"suffix":""}],"container-title":"Earth Surface Processes and Landforms","id":"ITEM-4","issue":"10","issued":{"date-parts":[["2016"]]},"note":"NULL","page":"1327-1336","title":"Streambank sediment loading rates at the watershed scale and the benefit of riparian protection","type":"article-journal","volume":"41"},"uris":["http://www.mendeley.com/documents/?uuid=4895abb1-79d5-46ff-b9a9-75786c94ab75"]},{"id":"ITEM-5","itemData":{"DOI":"10.1111/j.1752-1688.2008.00210.x","ISBN":"1752-1688","ISSN":"1093474X","abstract":"Phosphorus and sediment are major nonpoint source pollutants that degrade water quality. Streambank erosion can contribute a significant percentage of the phosphorus and sediment load in streams. Riparian land-uses can heavily influence streambank erosion. The objective of this study was to compare streambank erosion along reaches of row-cropped fields, continuous, rotational and intensive rotational grazed pastures, pastures where cattle were fenced out of the stream, grass filters and riparian forest buffers, in three physiographic regions of Iowa. Streambank erosion was measured by surveying the extent of severely eroding banks within each riparian land-use reach and randomly establishing pin plots on subsets of those eroding banks. Based on these measurements, streambank erosion rate, erosion activity, maximum pin plot erosion rate, percentage of streambank length with severely eroding banks, and soil and phosphorus losses per unit length of stream reach were compared among the riparian land-uses. Riparian forest buffers had the lowest streambank erosion rate (15-46 mm/year) and contributed the least soil (5-18 tonne/km/year) and phosphorus (2-6 kg/km/year) to stream channels. Riparian forest buffers were followed by grass filters (erosion rates 41-106 mm/year, soil losses 22-47 tonne/km/year, phosphorus losses 9-14 kg/km/year) and pastures where cattle were fenced out of the stream (erosion rates 22-58 mm/year, soil losses 6-61 tonne/km/year, phosphorus losses 3-34 kg/km/year). The streambank erosion rates for the continuous, rotational, and intensive rotational pastures were 101-171, 104-122, and 94-170 mm/year, respectively. The soil losses for the continuous, rotational, and intensive rotational pastures were 197-264, 94-266, and 124-153 tonne/km/year, respectively, while the phosphorus losses were 71-123, 37-122, and 66 kg/km/year, respectively. The only significant differences for these pasture practices were found among the percentage of severely eroding bank lengths with intensive rotational grazed pastures having the least compared to the continuous and rotational grazed pastures. Row-cropped fields had the highest streambank erosion rates (239 mm/year) and soil losses (304 tonne/km/year) and very high phosphorus losses (108 kg/km/year).","author":[{"dropping-particle":"","family":"Zaimes","given":"George N.","non-dropping-particle":"","parse-names":false,"suffix":""},{"dropping-particle":"","family":"Schultz","given":"Richard C.","non-dropping-particle":"","parse-names":false,"suffix":""},{"dropping-particle":"","family":"Isenhart","given":"Thomas M.","non-dropping-particle":"","parse-names":false,"suffix":""}],"container-title":"Journal of the American Water Resources Association","id":"ITEM-5","issue":"4","issued":{"date-parts":[["2008"]]},"note":"NULL","page":"935-947","title":"Streambank soil and phosphorus losses under different riparian land-uses in Iowa","type":"article-journal","volume":"44"},"uris":["http://www.mendeley.com/documents/?uuid=44fbd5cf-d70f-4f8a-98a3-b8a11e99591d"]}],"mendeley":{"formattedCitation":"(Kronvang, Audet, Baattrup-Pedersen, Jensen, &amp; Larsen, 2012; R. B. Miller et al., 2014; Purvis &amp; Fox, 2016; Sekely, Mulla, &amp; Bauer, 2002; Zaimes, Schultz, &amp; Isenhart, 2008)","plainTextFormattedCitation":"(Kronvang, Audet, Baattrup-Pedersen, Jensen, &amp; Larsen, 2012; R. B. Miller et al., 2014; Purvis &amp; Fox, 2016; Sekely, Mulla, &amp; Bauer, 2002; Zaimes, Schultz, &amp; Isenhart, 2008)","previouslyFormattedCitation":"(Kronvang et al., 2012; Miller et al., 2014; Purvis and Fox, 2016; Sekely et al., 2002; Zaimes et al., 2008)"},"properties":{"noteIndex":0},"schema":"https://github.com/citation-style-language/schema/raw/master/csl-citation.json"}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(Kronvang, Audet, Baattrup-Pedersen, Jensen, &amp; Larsen, 2012; R. B. Miller et al., 2014; Purvis &amp; Fox, 2016; Sekely, Mulla, &amp; Bauer, 2002; Zaimes, Schultz, &amp; Isenhart, 2008)</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with the exception of Miller et al </w:t>
      </w:r>
      <w:r w:rsidRPr="005826E2">
        <w:rPr>
          <w:rFonts w:ascii="Times New Roman" w:hAnsi="Times New Roman"/>
          <w:color w:val="000000" w:themeColor="text1"/>
          <w:sz w:val="24"/>
        </w:rPr>
        <w:fldChar w:fldCharType="begin" w:fldLock="1"/>
      </w:r>
      <w:r w:rsidRPr="005826E2">
        <w:rPr>
          <w:rFonts w:ascii="Times New Roman" w:hAnsi="Times New Roman"/>
          <w:color w:val="000000" w:themeColor="text1"/>
          <w:sz w:val="24"/>
        </w:rPr>
        <w:instrText>ADDIN CSL_CITATION {"citationItems":[{"id":"ITEM-1","itemData":{"DOI":"10.1016/J.AGEE.2014.03.016","ISSN":"0167-8809","abstract":"In some watersheds, the majority of the total sediment load to streams and rivers is from streambanks, but insufficient data exist on actual loading from this source and the potential protective effect of riparian protection in many watersheds. Using aerial imagery, video reconnaissance for unstable banks, and streambank phosphorus (P) sampling, this research studied streambanks throughout the Barren Fork Creek (BFC) watershed within Oklahoma to address four major objectives: (i) quantify the amount of streambank erosion and failure throughout the watershed, (ii) quantify the magnitude and the intra-site and inter-site spatial variability in streambank soil chemistry, water soluble phosphorus (WSP), and total phosphorus (TP), (iii) quantify the load of WSP and TP from streambanks in the watershed, and (iv) estimate the benefit of riparian management practices. Ten streambank study sites were selected on BFC, including seven sites with existing or historic riparian forest (historically protected, HP), and three with no riparian forest (historically unprotected, HUP). Median and mean streambank migration rates were 9.5 and 17.5m for the HP sites compared to 37.6 and 49.2m for the three HUP sites over the seven year period. Total WSP from streambanks on BFC from unprotected and failing banks was approximately 1.2×103kgyr−1, which represented approximately 10% of the dissolved P load estimated from USGS gauges on BFC. The estimated TP load was approximately 9.0×104kgTPyr−1, which exceeded the TP load estimated from gauge data, although TP is largely sediment-bound and thus subject to sediment transport dynamics such as floodplain deposition. Streambanks represented a considerable source of P, and riparian forest sites showed significantly lower rates of retreat. The methodology of using detailed P characterization, lateral retreat rates from aerial photography, and video reconnaissance to characterize bank stability was an effective approach for assessing the WSP and TP load contribution from streambanks.","author":[{"dropping-particle":"","family":"Miller","given":"Ronald B.","non-dropping-particle":"","parse-names":false,"suffix":""},{"dropping-particle":"","family":"Fox","given":"Garey A.","non-dropping-particle":"","parse-names":false,"suffix":""},{"dropping-particle":"","family":"Penn","given":"Chad J.","non-dropping-particle":"","parse-names":false,"suffix":""},{"dropping-particle":"","family":"Wilson","given":"Stuart","non-dropping-particle":"","parse-names":false,"suffix":""},{"dropping-particle":"","family":"Parnell","given":"Abigail","non-dropping-particle":"","parse-names":false,"suffix":""},{"dropping-particle":"","family":"Purvis","given":"Rebecca A.","non-dropping-particle":"","parse-names":false,"suffix":""},{"dropping-particle":"","family":"Criswell","given":"Kelsey","non-dropping-particle":"","parse-names":false,"suffix":""}],"container-title":"Agriculture, Ecosystems &amp; Environment","id":"ITEM-1","issued":{"date-parts":[["2014","5","1"]]},"page":"70-81","publisher":"Elsevier","title":"Estimating sediment and phosphorus loads from streambanks with and without riparian protection","type":"article-journal","volume":"189"},"suppress-author":1,"uris":["http://www.mendeley.com/documents/?uuid=85077f8c-ba54-386d-bfcd-25412f95aa8d"]}],"mendeley":{"formattedCitation":"(2014)","plainTextFormattedCitation":"(2014)","previouslyFormattedCitation":"(2014)"},"properties":{"noteIndex":0},"schema":"https://github.com/citation-style-language/schema/raw/master/csl-citation.json"}</w:instrText>
      </w:r>
      <w:r w:rsidRPr="005826E2">
        <w:rPr>
          <w:rFonts w:ascii="Times New Roman" w:hAnsi="Times New Roman"/>
          <w:color w:val="000000" w:themeColor="text1"/>
          <w:sz w:val="24"/>
        </w:rPr>
        <w:fldChar w:fldCharType="separate"/>
      </w:r>
      <w:r w:rsidRPr="005826E2">
        <w:rPr>
          <w:rFonts w:ascii="Times New Roman" w:hAnsi="Times New Roman"/>
          <w:noProof/>
          <w:color w:val="000000" w:themeColor="text1"/>
          <w:sz w:val="24"/>
        </w:rPr>
        <w:t>(2014)</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which reported a total P contribution of 1.6 kg P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 xml:space="preserve">-1 </w:t>
      </w:r>
      <w:r w:rsidRPr="005826E2">
        <w:rPr>
          <w:rFonts w:ascii="Times New Roman" w:hAnsi="Times New Roman"/>
          <w:sz w:val="24"/>
        </w:rPr>
        <w:t>(</w:t>
      </w:r>
      <w:r w:rsidRPr="005826E2">
        <w:rPr>
          <w:rFonts w:ascii="Times New Roman" w:hAnsi="Times New Roman"/>
          <w:color w:val="FF0000"/>
          <w:sz w:val="24"/>
        </w:rPr>
        <w:fldChar w:fldCharType="begin"/>
      </w:r>
      <w:r w:rsidRPr="005826E2">
        <w:rPr>
          <w:rFonts w:ascii="Times New Roman" w:hAnsi="Times New Roman"/>
          <w:color w:val="FF0000"/>
          <w:sz w:val="24"/>
        </w:rPr>
        <w:instrText xml:space="preserve"> REF _Ref4243057 \h </w:instrText>
      </w:r>
      <w:r w:rsidRPr="005826E2">
        <w:rPr>
          <w:rFonts w:ascii="Times New Roman" w:hAnsi="Times New Roman"/>
          <w:color w:val="FF0000"/>
          <w:sz w:val="24"/>
        </w:rPr>
      </w:r>
      <w:r w:rsidRPr="005826E2">
        <w:rPr>
          <w:rFonts w:ascii="Times New Roman" w:hAnsi="Times New Roman"/>
          <w:color w:val="FF0000"/>
          <w:sz w:val="24"/>
        </w:rPr>
        <w:fldChar w:fldCharType="separate"/>
      </w:r>
      <w:r w:rsidRPr="005826E2">
        <w:rPr>
          <w:rFonts w:ascii="Times New Roman" w:hAnsi="Times New Roman"/>
          <w:sz w:val="24"/>
        </w:rPr>
        <w:t xml:space="preserve">Table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3</w:t>
      </w:r>
      <w:r w:rsidRPr="005826E2">
        <w:rPr>
          <w:rFonts w:ascii="Times New Roman" w:hAnsi="Times New Roman"/>
          <w:color w:val="FF0000"/>
          <w:sz w:val="24"/>
        </w:rPr>
        <w:fldChar w:fldCharType="end"/>
      </w:r>
      <w:r w:rsidRPr="005826E2">
        <w:rPr>
          <w:rFonts w:ascii="Times New Roman" w:hAnsi="Times New Roman"/>
          <w:sz w:val="24"/>
        </w:rPr>
        <w:t>)</w:t>
      </w:r>
      <w:r w:rsidRPr="005826E2">
        <w:rPr>
          <w:rFonts w:ascii="Times New Roman" w:hAnsi="Times New Roman"/>
          <w:color w:val="000000" w:themeColor="text1"/>
          <w:sz w:val="24"/>
        </w:rPr>
        <w:t>. This is fourteen times greater than average of all other referenced studies (0.12 kg P m</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yr</w:t>
      </w:r>
      <w:r w:rsidRPr="005826E2">
        <w:rPr>
          <w:rFonts w:ascii="Times New Roman" w:hAnsi="Times New Roman"/>
          <w:color w:val="000000" w:themeColor="text1"/>
          <w:sz w:val="24"/>
          <w:vertAlign w:val="superscript"/>
        </w:rPr>
        <w:t>-1</w:t>
      </w:r>
      <w:r w:rsidRPr="005826E2">
        <w:rPr>
          <w:rFonts w:ascii="Times New Roman" w:hAnsi="Times New Roman"/>
          <w:color w:val="000000" w:themeColor="text1"/>
          <w:sz w:val="24"/>
        </w:rPr>
        <w:t xml:space="preserve">). </w:t>
      </w:r>
      <w:proofErr w:type="gramStart"/>
      <w:r w:rsidRPr="005826E2">
        <w:rPr>
          <w:rFonts w:ascii="Times New Roman" w:hAnsi="Times New Roman"/>
          <w:color w:val="000000" w:themeColor="text1"/>
          <w:sz w:val="24"/>
        </w:rPr>
        <w:t>In particular, it</w:t>
      </w:r>
      <w:proofErr w:type="gramEnd"/>
      <w:r w:rsidRPr="005826E2">
        <w:rPr>
          <w:rFonts w:ascii="Times New Roman" w:hAnsi="Times New Roman"/>
          <w:color w:val="000000" w:themeColor="text1"/>
          <w:sz w:val="24"/>
        </w:rPr>
        <w:t xml:space="preserve"> is encouraging to see that our results conform to previous work; given that the Nishnabotna river system has a total channel length two orders of magnitude larger than the next largest study cited.</w:t>
      </w:r>
    </w:p>
    <w:p w14:paraId="36472468"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Finally, an important finding of this study is that the proportional contribution to net volume loss by stream order is inversely related to the total channel length of each order (</w:t>
      </w:r>
      <w:r w:rsidRPr="005826E2">
        <w:rPr>
          <w:rFonts w:ascii="Times New Roman" w:hAnsi="Times New Roman"/>
          <w:color w:val="000000" w:themeColor="text1"/>
          <w:sz w:val="24"/>
        </w:rPr>
        <w:fldChar w:fldCharType="begin"/>
      </w:r>
      <w:r w:rsidRPr="005826E2">
        <w:rPr>
          <w:rFonts w:ascii="Times New Roman" w:hAnsi="Times New Roman"/>
          <w:color w:val="000000" w:themeColor="text1"/>
          <w:sz w:val="24"/>
        </w:rPr>
        <w:instrText xml:space="preserve"> REF _Ref4243019 \h </w:instrText>
      </w:r>
      <w:r w:rsidRPr="005826E2">
        <w:rPr>
          <w:rFonts w:ascii="Times New Roman" w:hAnsi="Times New Roman"/>
          <w:color w:val="000000" w:themeColor="text1"/>
          <w:sz w:val="24"/>
        </w:rPr>
      </w:r>
      <w:r w:rsidRPr="005826E2">
        <w:rPr>
          <w:rFonts w:ascii="Times New Roman" w:hAnsi="Times New Roman"/>
          <w:color w:val="000000" w:themeColor="text1"/>
          <w:sz w:val="24"/>
        </w:rPr>
        <w:fldChar w:fldCharType="separate"/>
      </w:r>
      <w:r w:rsidRPr="005826E2">
        <w:rPr>
          <w:rFonts w:ascii="Times New Roman" w:hAnsi="Times New Roman"/>
          <w:sz w:val="24"/>
        </w:rPr>
        <w:t xml:space="preserve">Figure </w:t>
      </w:r>
      <w:r w:rsidRPr="005826E2">
        <w:rPr>
          <w:rFonts w:ascii="Times New Roman" w:hAnsi="Times New Roman"/>
          <w:noProof/>
          <w:sz w:val="24"/>
        </w:rPr>
        <w:t>3</w:t>
      </w:r>
      <w:r w:rsidRPr="005826E2">
        <w:rPr>
          <w:rFonts w:ascii="Times New Roman" w:hAnsi="Times New Roman"/>
          <w:sz w:val="24"/>
        </w:rPr>
        <w:t>.</w:t>
      </w:r>
      <w:r w:rsidRPr="005826E2">
        <w:rPr>
          <w:rFonts w:ascii="Times New Roman" w:hAnsi="Times New Roman"/>
          <w:noProof/>
          <w:sz w:val="24"/>
        </w:rPr>
        <w:t>7</w:t>
      </w:r>
      <w:r w:rsidRPr="005826E2">
        <w:rPr>
          <w:rFonts w:ascii="Times New Roman" w:hAnsi="Times New Roman"/>
          <w:color w:val="000000" w:themeColor="text1"/>
          <w:sz w:val="24"/>
        </w:rPr>
        <w:fldChar w:fldCharType="end"/>
      </w:r>
      <w:r w:rsidRPr="005826E2">
        <w:rPr>
          <w:rFonts w:ascii="Times New Roman" w:hAnsi="Times New Roman"/>
          <w:color w:val="000000" w:themeColor="text1"/>
          <w:sz w:val="24"/>
        </w:rPr>
        <w:t xml:space="preserve">). It is important to note however that this is only known for sediment and TP inputs related to channel migration and does not include the effects of other geomorphic processes such as </w:t>
      </w:r>
      <w:proofErr w:type="gramStart"/>
      <w:r w:rsidRPr="005826E2">
        <w:rPr>
          <w:rFonts w:ascii="Times New Roman" w:hAnsi="Times New Roman"/>
          <w:color w:val="000000" w:themeColor="text1"/>
          <w:sz w:val="24"/>
        </w:rPr>
        <w:t>down-cutting</w:t>
      </w:r>
      <w:proofErr w:type="gramEnd"/>
      <w:r w:rsidRPr="005826E2">
        <w:rPr>
          <w:rFonts w:ascii="Times New Roman" w:hAnsi="Times New Roman"/>
          <w:color w:val="000000" w:themeColor="text1"/>
          <w:sz w:val="24"/>
        </w:rPr>
        <w:t xml:space="preserve"> and gully head migration. Neither AIMM, hand delineation, nor pinning methods are well suited to observe these processes but repeat aerial LiDAR could offer a way to quantify these aspects of the erosional system. Since most streambank erosion studies and bank stabilization projects have been conducted in low order streams where issues related to access, mobility and land ownership patterns are easier to overcome </w:t>
      </w:r>
      <w:r w:rsidRPr="005826E2">
        <w:rPr>
          <w:rFonts w:ascii="Times New Roman" w:hAnsi="Times New Roman"/>
          <w:color w:val="000000" w:themeColor="text1"/>
          <w:sz w:val="24"/>
        </w:rPr>
        <w:lastRenderedPageBreak/>
        <w:t>however, these results represent a timely reminder of the importance of higher order reaches. Furthermore, this study indicates, that future work concerning streambank erosion will need to consider larger stream orders and watersheds if accurate patterns and magnitudes of streambank erosion are to be reported.</w:t>
      </w:r>
    </w:p>
    <w:p w14:paraId="624C772E"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10" w:name="_Toc6834471"/>
      <w:r w:rsidRPr="005826E2">
        <w:rPr>
          <w:rFonts w:ascii="Times New Roman" w:eastAsiaTheme="majorEastAsia" w:hAnsi="Times New Roman" w:cstheme="majorBidi"/>
          <w:b/>
          <w:color w:val="000000" w:themeColor="text1"/>
          <w:sz w:val="24"/>
          <w:szCs w:val="26"/>
        </w:rPr>
        <w:t>Conclusion</w:t>
      </w:r>
      <w:bookmarkEnd w:id="10"/>
    </w:p>
    <w:p w14:paraId="2A8511E7" w14:textId="77777777" w:rsidR="005826E2" w:rsidRPr="005826E2" w:rsidRDefault="005826E2" w:rsidP="005826E2">
      <w:pPr>
        <w:spacing w:after="0" w:line="480" w:lineRule="auto"/>
        <w:ind w:firstLine="720"/>
        <w:rPr>
          <w:rFonts w:ascii="Times New Roman" w:hAnsi="Times New Roman"/>
          <w:color w:val="000000" w:themeColor="text1"/>
          <w:sz w:val="24"/>
        </w:rPr>
      </w:pPr>
      <w:r w:rsidRPr="005826E2">
        <w:rPr>
          <w:rFonts w:ascii="Times New Roman" w:hAnsi="Times New Roman"/>
          <w:color w:val="000000" w:themeColor="text1"/>
          <w:sz w:val="24"/>
        </w:rPr>
        <w:t xml:space="preserve">In this study, the AIMM model was used in conjunction with a random sample of 18 sample cores, stratified by stream order, to estimate channel migration’s contribution to the sediment and P budget of the Nishnabotna River in SW Iowa. On average, we found that 0.38 tons of sediment and 0.18 kg of P were added to the Nishnabotna watershed per year per meter of channel length between the years of 2009 and 2018. These values fell within the range found in previous studies, even though the Nishnabotna watershed is orders of magnitude larger than the watersheds considered in previous studies. As this is the first time the AIMM model has been used to predict sediment and total P contributions of eroding banks within a large watershed, we also suggest that this study represents an </w:t>
      </w:r>
      <w:r w:rsidRPr="005826E2">
        <w:rPr>
          <w:rFonts w:ascii="Times New Roman" w:hAnsi="Times New Roman"/>
          <w:sz w:val="24"/>
        </w:rPr>
        <w:t>efficient method for constraining contributions from streambanks to watershed sediment and nutrient budgets.</w:t>
      </w:r>
      <w:r w:rsidRPr="005826E2">
        <w:rPr>
          <w:rFonts w:ascii="Times New Roman" w:hAnsi="Times New Roman"/>
          <w:color w:val="000000" w:themeColor="text1"/>
          <w:sz w:val="24"/>
        </w:rPr>
        <w:t xml:space="preserve"> Finally, our volume results also indicate that the proportional contribution to net volume loss by stream order is inversely related to the total channel length of each order within the watershed. These results suggest that future conservation and research that attempts to decrease riparian contributions to sediment and P budgets should focus on larger reaches than are commonly considered.</w:t>
      </w:r>
    </w:p>
    <w:p w14:paraId="4E0C9DDD"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11" w:name="_Toc6834472"/>
      <w:r w:rsidRPr="005826E2">
        <w:rPr>
          <w:rFonts w:ascii="Times New Roman" w:eastAsiaTheme="majorEastAsia" w:hAnsi="Times New Roman" w:cstheme="majorBidi"/>
          <w:b/>
          <w:color w:val="000000" w:themeColor="text1"/>
          <w:sz w:val="24"/>
          <w:szCs w:val="26"/>
        </w:rPr>
        <w:lastRenderedPageBreak/>
        <w:t>Figures</w:t>
      </w:r>
      <w:bookmarkEnd w:id="11"/>
    </w:p>
    <w:p w14:paraId="5511040C" w14:textId="77777777" w:rsidR="005826E2" w:rsidRPr="005826E2" w:rsidRDefault="005826E2" w:rsidP="005826E2">
      <w:pPr>
        <w:keepNext/>
        <w:spacing w:after="0" w:line="480" w:lineRule="auto"/>
        <w:rPr>
          <w:rFonts w:ascii="Times New Roman" w:hAnsi="Times New Roman"/>
          <w:sz w:val="24"/>
        </w:rPr>
      </w:pPr>
      <w:r w:rsidRPr="005826E2">
        <w:rPr>
          <w:rFonts w:ascii="Times New Roman" w:hAnsi="Times New Roman"/>
          <w:noProof/>
          <w:color w:val="000000" w:themeColor="text1"/>
          <w:sz w:val="24"/>
        </w:rPr>
        <w:drawing>
          <wp:inline distT="0" distB="0" distL="0" distR="0" wp14:anchorId="7D7DFD0F" wp14:editId="6562304B">
            <wp:extent cx="4633415" cy="66376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flow.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60029" cy="6675763"/>
                    </a:xfrm>
                    <a:prstGeom prst="rect">
                      <a:avLst/>
                    </a:prstGeom>
                  </pic:spPr>
                </pic:pic>
              </a:graphicData>
            </a:graphic>
          </wp:inline>
        </w:drawing>
      </w:r>
    </w:p>
    <w:p w14:paraId="08D51542"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5826E2">
          <w:pgSz w:w="12240" w:h="15840"/>
          <w:pgMar w:top="1440" w:right="1440" w:bottom="1440" w:left="1800" w:header="720" w:footer="720" w:gutter="0"/>
          <w:pgNumType w:start="1"/>
          <w:cols w:space="720"/>
          <w:docGrid w:linePitch="360"/>
        </w:sectPr>
      </w:pPr>
      <w:bookmarkStart w:id="12" w:name="_Ref4242600"/>
      <w:bookmarkStart w:id="13" w:name="_Toc6834488"/>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1</w:t>
      </w:r>
      <w:r w:rsidRPr="005826E2">
        <w:rPr>
          <w:rFonts w:ascii="Times New Roman" w:hAnsi="Times New Roman"/>
          <w:iCs/>
          <w:noProof/>
          <w:color w:val="000000" w:themeColor="text1"/>
          <w:sz w:val="24"/>
          <w:szCs w:val="18"/>
        </w:rPr>
        <w:fldChar w:fldCharType="end"/>
      </w:r>
      <w:bookmarkEnd w:id="12"/>
      <w:r w:rsidRPr="005826E2">
        <w:rPr>
          <w:rFonts w:ascii="Times New Roman" w:hAnsi="Times New Roman"/>
          <w:iCs/>
          <w:color w:val="000000" w:themeColor="text1"/>
          <w:sz w:val="24"/>
          <w:szCs w:val="18"/>
        </w:rPr>
        <w:t xml:space="preserve"> AIMM flowchart</w:t>
      </w:r>
      <w:bookmarkEnd w:id="13"/>
    </w:p>
    <w:p w14:paraId="719D30BB"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xml:space="preserve">. AIMM requires four inputs (two aerial images, a DEM, and a centerline file) and produces a raster and polygonal output. AIMM can be broken down into three primary steps: </w:t>
      </w:r>
      <w:proofErr w:type="spellStart"/>
      <w:r w:rsidRPr="005826E2">
        <w:rPr>
          <w:rFonts w:ascii="Times New Roman" w:hAnsi="Times New Roman"/>
          <w:iCs/>
          <w:color w:val="000000" w:themeColor="text1"/>
          <w:sz w:val="24"/>
          <w:szCs w:val="18"/>
        </w:rPr>
        <w:t>i</w:t>
      </w:r>
      <w:proofErr w:type="spellEnd"/>
      <w:r w:rsidRPr="005826E2">
        <w:rPr>
          <w:rFonts w:ascii="Times New Roman" w:hAnsi="Times New Roman"/>
          <w:iCs/>
          <w:color w:val="000000" w:themeColor="text1"/>
          <w:sz w:val="24"/>
          <w:szCs w:val="18"/>
        </w:rPr>
        <w:t>) thresholding of an NDWI image ii) overlaying the two binary images to measure migration iii) measuring local height difference around each erosional and depositional polygon.</w:t>
      </w:r>
    </w:p>
    <w:p w14:paraId="36637922"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p>
    <w:p w14:paraId="212AE94A"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drawing>
          <wp:inline distT="0" distB="0" distL="0" distR="0" wp14:anchorId="02E3933A" wp14:editId="6F93D3B6">
            <wp:extent cx="5430012" cy="54041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sh_wsh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0012" cy="5404104"/>
                    </a:xfrm>
                    <a:prstGeom prst="rect">
                      <a:avLst/>
                    </a:prstGeom>
                  </pic:spPr>
                </pic:pic>
              </a:graphicData>
            </a:graphic>
          </wp:inline>
        </w:drawing>
      </w:r>
    </w:p>
    <w:p w14:paraId="064490DB"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14" w:name="_Ref4242733"/>
      <w:bookmarkStart w:id="15" w:name="_Toc6834489"/>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2</w:t>
      </w:r>
      <w:r w:rsidRPr="005826E2">
        <w:rPr>
          <w:rFonts w:ascii="Times New Roman" w:hAnsi="Times New Roman"/>
          <w:iCs/>
          <w:noProof/>
          <w:color w:val="000000" w:themeColor="text1"/>
          <w:sz w:val="24"/>
          <w:szCs w:val="18"/>
        </w:rPr>
        <w:fldChar w:fldCharType="end"/>
      </w:r>
      <w:bookmarkEnd w:id="14"/>
      <w:r w:rsidRPr="005826E2">
        <w:rPr>
          <w:rFonts w:ascii="Times New Roman" w:hAnsi="Times New Roman"/>
          <w:iCs/>
          <w:color w:val="000000" w:themeColor="text1"/>
          <w:sz w:val="24"/>
          <w:szCs w:val="18"/>
        </w:rPr>
        <w:t xml:space="preserve"> Watershed map</w:t>
      </w:r>
      <w:bookmarkEnd w:id="15"/>
    </w:p>
    <w:p w14:paraId="0F75D44A"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The Nishnabotna watershed is composed of the East and West Nishnabotna river systems. Its soils are dominated by loess, which was blown east from the Missouri river valley.</w:t>
      </w:r>
    </w:p>
    <w:p w14:paraId="365DCD3C"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lastRenderedPageBreak/>
        <w:drawing>
          <wp:inline distT="0" distB="0" distL="0" distR="0" wp14:anchorId="152DDD71" wp14:editId="1B94E6E2">
            <wp:extent cx="5411724" cy="54041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_sites.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1724" cy="5404104"/>
                    </a:xfrm>
                    <a:prstGeom prst="rect">
                      <a:avLst/>
                    </a:prstGeom>
                  </pic:spPr>
                </pic:pic>
              </a:graphicData>
            </a:graphic>
          </wp:inline>
        </w:drawing>
      </w:r>
    </w:p>
    <w:p w14:paraId="47975309"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16" w:name="_Ref4242779"/>
      <w:bookmarkStart w:id="17" w:name="_Toc6834490"/>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bookmarkEnd w:id="16"/>
      <w:r w:rsidRPr="005826E2">
        <w:rPr>
          <w:rFonts w:ascii="Times New Roman" w:hAnsi="Times New Roman"/>
          <w:iCs/>
          <w:color w:val="000000" w:themeColor="text1"/>
          <w:sz w:val="24"/>
          <w:szCs w:val="18"/>
        </w:rPr>
        <w:t xml:space="preserve"> Sample sites</w:t>
      </w:r>
      <w:bookmarkEnd w:id="17"/>
    </w:p>
    <w:p w14:paraId="13594AC0"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Eighteen randomly selected sites (3 x stream orders 1-6) were cored and delineated, and an additional twelve sites (3 x stream orders 3-6) were delineated in order make a more robust estimation of AIMM’s agreement with hand delineation methods.</w:t>
      </w:r>
    </w:p>
    <w:p w14:paraId="6395705B"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lastRenderedPageBreak/>
        <w:drawing>
          <wp:inline distT="0" distB="0" distL="0" distR="0" wp14:anchorId="3A6A33BC" wp14:editId="174F7FA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7042D45"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18" w:name="_Ref4242855"/>
      <w:bookmarkStart w:id="19" w:name="_Toc6834491"/>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4</w:t>
      </w:r>
      <w:r w:rsidRPr="005826E2">
        <w:rPr>
          <w:rFonts w:ascii="Times New Roman" w:hAnsi="Times New Roman"/>
          <w:iCs/>
          <w:noProof/>
          <w:color w:val="000000" w:themeColor="text1"/>
          <w:sz w:val="24"/>
          <w:szCs w:val="18"/>
        </w:rPr>
        <w:fldChar w:fldCharType="end"/>
      </w:r>
      <w:bookmarkEnd w:id="18"/>
      <w:r w:rsidRPr="005826E2">
        <w:rPr>
          <w:rFonts w:ascii="Times New Roman" w:hAnsi="Times New Roman"/>
          <w:iCs/>
          <w:color w:val="000000" w:themeColor="text1"/>
          <w:sz w:val="24"/>
          <w:szCs w:val="18"/>
        </w:rPr>
        <w:t xml:space="preserve"> Soil density by stream order</w:t>
      </w:r>
      <w:bookmarkEnd w:id="19"/>
    </w:p>
    <w:p w14:paraId="7649A494"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The median value for every order was found to be within one standard deviation of every other stream order. Consequently, a global average for bulk density was used within our erosion analysis.</w:t>
      </w:r>
    </w:p>
    <w:p w14:paraId="023BACFE"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lastRenderedPageBreak/>
        <w:drawing>
          <wp:inline distT="0" distB="0" distL="0" distR="0" wp14:anchorId="5FE0E0AA" wp14:editId="5117C009">
            <wp:extent cx="4605528" cy="721004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6_comparis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5528" cy="7210044"/>
                    </a:xfrm>
                    <a:prstGeom prst="rect">
                      <a:avLst/>
                    </a:prstGeom>
                  </pic:spPr>
                </pic:pic>
              </a:graphicData>
            </a:graphic>
          </wp:inline>
        </w:drawing>
      </w:r>
    </w:p>
    <w:p w14:paraId="46683D0D"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20" w:name="_Ref4242933"/>
      <w:bookmarkStart w:id="21" w:name="_Toc6834492"/>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5</w:t>
      </w:r>
      <w:r w:rsidRPr="005826E2">
        <w:rPr>
          <w:rFonts w:ascii="Times New Roman" w:hAnsi="Times New Roman"/>
          <w:iCs/>
          <w:noProof/>
          <w:color w:val="000000" w:themeColor="text1"/>
          <w:sz w:val="24"/>
          <w:szCs w:val="18"/>
        </w:rPr>
        <w:fldChar w:fldCharType="end"/>
      </w:r>
      <w:bookmarkEnd w:id="20"/>
      <w:r w:rsidRPr="005826E2">
        <w:rPr>
          <w:rFonts w:ascii="Times New Roman" w:hAnsi="Times New Roman"/>
          <w:iCs/>
          <w:color w:val="000000" w:themeColor="text1"/>
          <w:sz w:val="24"/>
          <w:szCs w:val="18"/>
        </w:rPr>
        <w:t xml:space="preserve"> AIMM's effectiveness within high and low orders</w:t>
      </w:r>
      <w:bookmarkEnd w:id="21"/>
    </w:p>
    <w:p w14:paraId="27FAFF15"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xml:space="preserve">. AIMM was much more effective within higher orders. This is likely because higher order streams are typically </w:t>
      </w:r>
      <w:proofErr w:type="gramStart"/>
      <w:r w:rsidRPr="005826E2">
        <w:rPr>
          <w:rFonts w:ascii="Times New Roman" w:hAnsi="Times New Roman"/>
          <w:iCs/>
          <w:color w:val="000000" w:themeColor="text1"/>
          <w:sz w:val="24"/>
          <w:szCs w:val="18"/>
        </w:rPr>
        <w:t>wider, and</w:t>
      </w:r>
      <w:proofErr w:type="gramEnd"/>
      <w:r w:rsidRPr="005826E2">
        <w:rPr>
          <w:rFonts w:ascii="Times New Roman" w:hAnsi="Times New Roman"/>
          <w:iCs/>
          <w:color w:val="000000" w:themeColor="text1"/>
          <w:sz w:val="24"/>
          <w:szCs w:val="18"/>
        </w:rPr>
        <w:t xml:space="preserve"> are less likely to be obscured by tree cover.</w:t>
      </w:r>
    </w:p>
    <w:p w14:paraId="63188D90"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lastRenderedPageBreak/>
        <w:drawing>
          <wp:inline distT="0" distB="0" distL="0" distR="0" wp14:anchorId="172EF0CA" wp14:editId="7ED82ED9">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FFBAB59"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22" w:name="_Ref4242949"/>
      <w:bookmarkStart w:id="23" w:name="_Toc6834493"/>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6</w:t>
      </w:r>
      <w:r w:rsidRPr="005826E2">
        <w:rPr>
          <w:rFonts w:ascii="Times New Roman" w:hAnsi="Times New Roman"/>
          <w:iCs/>
          <w:noProof/>
          <w:color w:val="000000" w:themeColor="text1"/>
          <w:sz w:val="24"/>
          <w:szCs w:val="18"/>
        </w:rPr>
        <w:fldChar w:fldCharType="end"/>
      </w:r>
      <w:bookmarkEnd w:id="22"/>
      <w:r w:rsidRPr="005826E2">
        <w:rPr>
          <w:rFonts w:ascii="Times New Roman" w:hAnsi="Times New Roman"/>
          <w:iCs/>
          <w:color w:val="000000" w:themeColor="text1"/>
          <w:sz w:val="24"/>
          <w:szCs w:val="18"/>
        </w:rPr>
        <w:t xml:space="preserve"> AIMM and delineation volume results by order</w:t>
      </w:r>
      <w:bookmarkEnd w:id="23"/>
    </w:p>
    <w:p w14:paraId="34E94D99"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Estimations of erosion were consistent between both methods, and AIMM tended to provide a higher estimation of deposition, particularly within third order reaches.</w:t>
      </w:r>
    </w:p>
    <w:p w14:paraId="7552BF5E" w14:textId="77777777" w:rsidR="005826E2" w:rsidRPr="005826E2" w:rsidRDefault="005826E2" w:rsidP="005826E2">
      <w:pPr>
        <w:keepNext/>
        <w:spacing w:after="0" w:line="480" w:lineRule="auto"/>
        <w:rPr>
          <w:rFonts w:ascii="Times New Roman" w:hAnsi="Times New Roman"/>
          <w:color w:val="000000" w:themeColor="text1"/>
          <w:sz w:val="24"/>
        </w:rPr>
      </w:pPr>
      <w:r w:rsidRPr="005826E2">
        <w:rPr>
          <w:rFonts w:ascii="Times New Roman" w:hAnsi="Times New Roman"/>
          <w:noProof/>
          <w:color w:val="000000" w:themeColor="text1"/>
          <w:sz w:val="24"/>
        </w:rPr>
        <w:lastRenderedPageBreak/>
        <w:drawing>
          <wp:inline distT="0" distB="0" distL="0" distR="0" wp14:anchorId="468A473F" wp14:editId="41DC2503">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28482B9"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24" w:name="_Ref4243019"/>
      <w:bookmarkStart w:id="25" w:name="_Toc6834494"/>
      <w:r w:rsidRPr="005826E2">
        <w:rPr>
          <w:rFonts w:ascii="Times New Roman" w:hAnsi="Times New Roman"/>
          <w:iCs/>
          <w:color w:val="000000" w:themeColor="text1"/>
          <w:sz w:val="24"/>
          <w:szCs w:val="18"/>
        </w:rPr>
        <w:t xml:space="preserve">Figure </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STYLEREF 1 \s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noProof/>
          <w:color w:val="000000" w:themeColor="text1"/>
          <w:sz w:val="24"/>
          <w:szCs w:val="18"/>
        </w:rPr>
        <w:fldChar w:fldCharType="begin"/>
      </w:r>
      <w:r w:rsidRPr="005826E2">
        <w:rPr>
          <w:rFonts w:ascii="Times New Roman" w:hAnsi="Times New Roman"/>
          <w:iCs/>
          <w:noProof/>
          <w:color w:val="000000" w:themeColor="text1"/>
          <w:sz w:val="24"/>
          <w:szCs w:val="18"/>
        </w:rPr>
        <w:instrText xml:space="preserve"> SEQ Figure \* ARABIC \s 1 </w:instrText>
      </w:r>
      <w:r w:rsidRPr="005826E2">
        <w:rPr>
          <w:rFonts w:ascii="Times New Roman" w:hAnsi="Times New Roman"/>
          <w:iCs/>
          <w:noProof/>
          <w:color w:val="000000" w:themeColor="text1"/>
          <w:sz w:val="24"/>
          <w:szCs w:val="18"/>
        </w:rPr>
        <w:fldChar w:fldCharType="separate"/>
      </w:r>
      <w:r w:rsidRPr="005826E2">
        <w:rPr>
          <w:rFonts w:ascii="Times New Roman" w:hAnsi="Times New Roman"/>
          <w:iCs/>
          <w:noProof/>
          <w:color w:val="000000" w:themeColor="text1"/>
          <w:sz w:val="24"/>
          <w:szCs w:val="18"/>
        </w:rPr>
        <w:t>7</w:t>
      </w:r>
      <w:r w:rsidRPr="005826E2">
        <w:rPr>
          <w:rFonts w:ascii="Times New Roman" w:hAnsi="Times New Roman"/>
          <w:iCs/>
          <w:noProof/>
          <w:color w:val="000000" w:themeColor="text1"/>
          <w:sz w:val="24"/>
          <w:szCs w:val="18"/>
        </w:rPr>
        <w:fldChar w:fldCharType="end"/>
      </w:r>
      <w:bookmarkEnd w:id="24"/>
      <w:r w:rsidRPr="005826E2">
        <w:rPr>
          <w:rFonts w:ascii="Times New Roman" w:hAnsi="Times New Roman"/>
          <w:iCs/>
          <w:color w:val="000000" w:themeColor="text1"/>
          <w:sz w:val="24"/>
          <w:szCs w:val="18"/>
        </w:rPr>
        <w:t xml:space="preserve"> Comparison of watershed length and erosional contribution by order</w:t>
      </w:r>
      <w:bookmarkEnd w:id="25"/>
    </w:p>
    <w:p w14:paraId="30979334"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Although smaller orders dominate the watershed in terms of length, the higher orders contribute much more erosional volume</w:t>
      </w:r>
    </w:p>
    <w:p w14:paraId="41F6FAE0" w14:textId="77777777" w:rsidR="005826E2" w:rsidRPr="005826E2" w:rsidRDefault="005826E2" w:rsidP="005826E2">
      <w:pPr>
        <w:rPr>
          <w:rFonts w:ascii="Times New Roman" w:eastAsiaTheme="majorEastAsia" w:hAnsi="Times New Roman" w:cstheme="majorBidi"/>
          <w:b/>
          <w:color w:val="000000" w:themeColor="text1"/>
          <w:sz w:val="24"/>
          <w:szCs w:val="26"/>
        </w:rPr>
      </w:pPr>
      <w:r w:rsidRPr="005826E2">
        <w:rPr>
          <w:rFonts w:ascii="Times New Roman" w:hAnsi="Times New Roman"/>
          <w:sz w:val="24"/>
        </w:rPr>
        <w:br w:type="page"/>
      </w:r>
    </w:p>
    <w:p w14:paraId="3B032AB5" w14:textId="77777777" w:rsidR="005826E2" w:rsidRP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bookmarkStart w:id="26" w:name="_Toc6834473"/>
      <w:r w:rsidRPr="005826E2">
        <w:rPr>
          <w:rFonts w:ascii="Times New Roman" w:eastAsiaTheme="majorEastAsia" w:hAnsi="Times New Roman" w:cstheme="majorBidi"/>
          <w:b/>
          <w:color w:val="000000" w:themeColor="text1"/>
          <w:sz w:val="24"/>
          <w:szCs w:val="26"/>
        </w:rPr>
        <w:lastRenderedPageBreak/>
        <w:t>Tables</w:t>
      </w:r>
      <w:bookmarkEnd w:id="26"/>
    </w:p>
    <w:p w14:paraId="038A389A" w14:textId="77777777" w:rsidR="005826E2" w:rsidRPr="005826E2" w:rsidRDefault="005826E2" w:rsidP="005826E2">
      <w:pPr>
        <w:keepNext/>
        <w:keepLines/>
        <w:widowControl w:val="0"/>
        <w:tabs>
          <w:tab w:val="left" w:pos="288"/>
          <w:tab w:val="left" w:pos="576"/>
          <w:tab w:val="left" w:pos="864"/>
          <w:tab w:val="left" w:pos="1152"/>
          <w:tab w:val="left" w:pos="1440"/>
        </w:tabs>
        <w:spacing w:before="240" w:after="240" w:line="240" w:lineRule="auto"/>
        <w:rPr>
          <w:rFonts w:ascii="Times New Roman" w:hAnsi="Times New Roman"/>
          <w:iCs/>
          <w:vanish/>
          <w:color w:val="000000" w:themeColor="text1"/>
          <w:sz w:val="24"/>
          <w:szCs w:val="18"/>
        </w:rPr>
        <w:sectPr w:rsidR="005826E2" w:rsidRPr="005826E2" w:rsidSect="00ED7210">
          <w:type w:val="continuous"/>
          <w:pgSz w:w="12240" w:h="15840"/>
          <w:pgMar w:top="1440" w:right="1440" w:bottom="1440" w:left="1800" w:header="720" w:footer="720" w:gutter="0"/>
          <w:pgNumType w:start="1"/>
          <w:cols w:space="720"/>
          <w:docGrid w:linePitch="360"/>
        </w:sectPr>
      </w:pPr>
      <w:bookmarkStart w:id="27" w:name="_Toc6834497"/>
      <w:r w:rsidRPr="005826E2">
        <w:rPr>
          <w:rFonts w:ascii="Times New Roman" w:hAnsi="Times New Roman"/>
          <w:iCs/>
          <w:color w:val="000000" w:themeColor="text1"/>
          <w:sz w:val="24"/>
          <w:szCs w:val="18"/>
        </w:rPr>
        <w:t xml:space="preserve">Table </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STYLEREF 1 \s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SEQ Table \* ARABIC \s 1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1</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 xml:space="preserve"> Estimation of erosional volume disagreement between methods</w:t>
      </w:r>
      <w:bookmarkEnd w:id="27"/>
    </w:p>
    <w:p w14:paraId="68AA0D10" w14:textId="77777777" w:rsidR="005826E2" w:rsidRPr="005826E2" w:rsidRDefault="005826E2" w:rsidP="005826E2">
      <w:pPr>
        <w:keepNext/>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r w:rsidRPr="005826E2">
        <w:rPr>
          <w:rFonts w:ascii="Times New Roman" w:hAnsi="Times New Roman"/>
          <w:iCs/>
          <w:color w:val="000000" w:themeColor="text1"/>
          <w:sz w:val="24"/>
          <w:szCs w:val="18"/>
        </w:rPr>
        <w:t>. Overall, AIMM estimated there to be 8% less erosional volume than was predicted by hand delineation within the twenty-four test reaches.</w:t>
      </w:r>
    </w:p>
    <w:tbl>
      <w:tblPr>
        <w:tblW w:w="8143" w:type="dxa"/>
        <w:tblLook w:val="04A0" w:firstRow="1" w:lastRow="0" w:firstColumn="1" w:lastColumn="0" w:noHBand="0" w:noVBand="1"/>
      </w:tblPr>
      <w:tblGrid>
        <w:gridCol w:w="683"/>
        <w:gridCol w:w="757"/>
        <w:gridCol w:w="525"/>
        <w:gridCol w:w="856"/>
        <w:gridCol w:w="1642"/>
        <w:gridCol w:w="1280"/>
        <w:gridCol w:w="2400"/>
      </w:tblGrid>
      <w:tr w:rsidR="005826E2" w:rsidRPr="005826E2" w14:paraId="3637F407" w14:textId="77777777" w:rsidTr="00667577">
        <w:trPr>
          <w:trHeight w:val="690"/>
        </w:trPr>
        <w:tc>
          <w:tcPr>
            <w:tcW w:w="683" w:type="dxa"/>
            <w:tcBorders>
              <w:top w:val="nil"/>
              <w:left w:val="nil"/>
              <w:bottom w:val="nil"/>
              <w:right w:val="nil"/>
            </w:tcBorders>
            <w:shd w:val="clear" w:color="000000" w:fill="FFFFFF"/>
            <w:noWrap/>
            <w:vAlign w:val="center"/>
            <w:hideMark/>
          </w:tcPr>
          <w:p w14:paraId="5EC40397"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c>
          <w:tcPr>
            <w:tcW w:w="2138" w:type="dxa"/>
            <w:gridSpan w:val="3"/>
            <w:tcBorders>
              <w:top w:val="nil"/>
              <w:left w:val="nil"/>
              <w:bottom w:val="single" w:sz="4" w:space="0" w:color="auto"/>
              <w:right w:val="nil"/>
            </w:tcBorders>
            <w:shd w:val="clear" w:color="000000" w:fill="FFFFFF"/>
            <w:vAlign w:val="center"/>
            <w:hideMark/>
          </w:tcPr>
          <w:p w14:paraId="20CA9D7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Net Volume Change per Channel Length (m</w:t>
            </w:r>
            <w:r w:rsidRPr="005826E2">
              <w:rPr>
                <w:rFonts w:ascii="Times New Roman" w:eastAsia="Times New Roman" w:hAnsi="Times New Roman" w:cs="Times New Roman"/>
                <w:color w:val="000000"/>
                <w:sz w:val="20"/>
                <w:szCs w:val="20"/>
                <w:vertAlign w:val="superscript"/>
              </w:rPr>
              <w:t>3</w:t>
            </w:r>
            <w:r w:rsidRPr="005826E2">
              <w:rPr>
                <w:rFonts w:ascii="Times New Roman" w:eastAsia="Times New Roman" w:hAnsi="Times New Roman" w:cs="Times New Roman"/>
                <w:color w:val="000000"/>
                <w:sz w:val="20"/>
                <w:szCs w:val="20"/>
              </w:rPr>
              <w:t>/m)</w:t>
            </w:r>
          </w:p>
        </w:tc>
        <w:tc>
          <w:tcPr>
            <w:tcW w:w="1642" w:type="dxa"/>
            <w:tcBorders>
              <w:top w:val="nil"/>
              <w:left w:val="nil"/>
              <w:bottom w:val="nil"/>
              <w:right w:val="nil"/>
            </w:tcBorders>
            <w:shd w:val="clear" w:color="000000" w:fill="FFFFFF"/>
            <w:noWrap/>
            <w:vAlign w:val="center"/>
            <w:hideMark/>
          </w:tcPr>
          <w:p w14:paraId="18077709"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c>
          <w:tcPr>
            <w:tcW w:w="1280" w:type="dxa"/>
            <w:tcBorders>
              <w:top w:val="nil"/>
              <w:left w:val="nil"/>
              <w:bottom w:val="nil"/>
              <w:right w:val="nil"/>
            </w:tcBorders>
            <w:shd w:val="clear" w:color="000000" w:fill="FFFFFF"/>
            <w:noWrap/>
            <w:vAlign w:val="center"/>
            <w:hideMark/>
          </w:tcPr>
          <w:p w14:paraId="716E4C77"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c>
          <w:tcPr>
            <w:tcW w:w="2400" w:type="dxa"/>
            <w:tcBorders>
              <w:top w:val="nil"/>
              <w:left w:val="nil"/>
              <w:bottom w:val="nil"/>
              <w:right w:val="nil"/>
            </w:tcBorders>
            <w:shd w:val="clear" w:color="000000" w:fill="FFFFFF"/>
            <w:noWrap/>
            <w:vAlign w:val="center"/>
            <w:hideMark/>
          </w:tcPr>
          <w:p w14:paraId="2F7853E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r>
      <w:tr w:rsidR="005826E2" w:rsidRPr="005826E2" w14:paraId="03732DB5" w14:textId="77777777" w:rsidTr="00667577">
        <w:trPr>
          <w:trHeight w:val="255"/>
        </w:trPr>
        <w:tc>
          <w:tcPr>
            <w:tcW w:w="683" w:type="dxa"/>
            <w:tcBorders>
              <w:top w:val="nil"/>
              <w:left w:val="nil"/>
              <w:bottom w:val="single" w:sz="4" w:space="0" w:color="auto"/>
              <w:right w:val="nil"/>
            </w:tcBorders>
            <w:shd w:val="clear" w:color="000000" w:fill="FFFFFF"/>
            <w:noWrap/>
            <w:vAlign w:val="center"/>
            <w:hideMark/>
          </w:tcPr>
          <w:p w14:paraId="1B9976F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Order</w:t>
            </w:r>
          </w:p>
        </w:tc>
        <w:tc>
          <w:tcPr>
            <w:tcW w:w="1282" w:type="dxa"/>
            <w:gridSpan w:val="2"/>
            <w:tcBorders>
              <w:top w:val="nil"/>
              <w:left w:val="nil"/>
              <w:bottom w:val="single" w:sz="4" w:space="0" w:color="auto"/>
              <w:right w:val="nil"/>
            </w:tcBorders>
            <w:shd w:val="clear" w:color="000000" w:fill="FFFFFF"/>
            <w:noWrap/>
            <w:vAlign w:val="center"/>
            <w:hideMark/>
          </w:tcPr>
          <w:p w14:paraId="697624C4"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Delineation</w:t>
            </w:r>
          </w:p>
        </w:tc>
        <w:tc>
          <w:tcPr>
            <w:tcW w:w="856" w:type="dxa"/>
            <w:tcBorders>
              <w:top w:val="nil"/>
              <w:left w:val="nil"/>
              <w:bottom w:val="single" w:sz="4" w:space="0" w:color="auto"/>
              <w:right w:val="nil"/>
            </w:tcBorders>
            <w:shd w:val="clear" w:color="000000" w:fill="FFFFFF"/>
            <w:noWrap/>
            <w:vAlign w:val="center"/>
            <w:hideMark/>
          </w:tcPr>
          <w:p w14:paraId="746D6C2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AIMM</w:t>
            </w:r>
          </w:p>
        </w:tc>
        <w:tc>
          <w:tcPr>
            <w:tcW w:w="1642" w:type="dxa"/>
            <w:tcBorders>
              <w:top w:val="nil"/>
              <w:left w:val="nil"/>
              <w:bottom w:val="single" w:sz="4" w:space="0" w:color="auto"/>
              <w:right w:val="nil"/>
            </w:tcBorders>
            <w:shd w:val="clear" w:color="000000" w:fill="FFFFFF"/>
            <w:noWrap/>
            <w:vAlign w:val="center"/>
            <w:hideMark/>
          </w:tcPr>
          <w:p w14:paraId="24DA5B0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Disagreement</w:t>
            </w:r>
          </w:p>
        </w:tc>
        <w:tc>
          <w:tcPr>
            <w:tcW w:w="1280" w:type="dxa"/>
            <w:tcBorders>
              <w:top w:val="nil"/>
              <w:left w:val="nil"/>
              <w:bottom w:val="single" w:sz="4" w:space="0" w:color="auto"/>
              <w:right w:val="nil"/>
            </w:tcBorders>
            <w:shd w:val="clear" w:color="000000" w:fill="FFFFFF"/>
            <w:noWrap/>
            <w:vAlign w:val="center"/>
            <w:hideMark/>
          </w:tcPr>
          <w:p w14:paraId="67E1D235"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Order Weight</w:t>
            </w:r>
          </w:p>
        </w:tc>
        <w:tc>
          <w:tcPr>
            <w:tcW w:w="2400" w:type="dxa"/>
            <w:tcBorders>
              <w:top w:val="nil"/>
              <w:left w:val="nil"/>
              <w:bottom w:val="single" w:sz="4" w:space="0" w:color="auto"/>
              <w:right w:val="nil"/>
            </w:tcBorders>
            <w:shd w:val="clear" w:color="000000" w:fill="FFFFFF"/>
            <w:noWrap/>
            <w:vAlign w:val="center"/>
            <w:hideMark/>
          </w:tcPr>
          <w:p w14:paraId="5D4A38D5"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Weighted Disagreement</w:t>
            </w:r>
          </w:p>
        </w:tc>
      </w:tr>
      <w:tr w:rsidR="005826E2" w:rsidRPr="005826E2" w14:paraId="44822D52" w14:textId="77777777" w:rsidTr="00667577">
        <w:trPr>
          <w:trHeight w:val="255"/>
        </w:trPr>
        <w:tc>
          <w:tcPr>
            <w:tcW w:w="683" w:type="dxa"/>
            <w:tcBorders>
              <w:top w:val="nil"/>
              <w:left w:val="nil"/>
              <w:bottom w:val="nil"/>
              <w:right w:val="nil"/>
            </w:tcBorders>
            <w:shd w:val="clear" w:color="000000" w:fill="FFFFFF"/>
            <w:noWrap/>
            <w:vAlign w:val="center"/>
            <w:hideMark/>
          </w:tcPr>
          <w:p w14:paraId="74AD229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w:t>
            </w:r>
          </w:p>
        </w:tc>
        <w:tc>
          <w:tcPr>
            <w:tcW w:w="1282" w:type="dxa"/>
            <w:gridSpan w:val="2"/>
            <w:tcBorders>
              <w:top w:val="nil"/>
              <w:left w:val="nil"/>
              <w:bottom w:val="nil"/>
              <w:right w:val="nil"/>
            </w:tcBorders>
            <w:shd w:val="clear" w:color="000000" w:fill="FFFFFF"/>
            <w:noWrap/>
            <w:vAlign w:val="center"/>
            <w:hideMark/>
          </w:tcPr>
          <w:p w14:paraId="3113D5C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-0.69</w:t>
            </w:r>
          </w:p>
        </w:tc>
        <w:tc>
          <w:tcPr>
            <w:tcW w:w="856" w:type="dxa"/>
            <w:tcBorders>
              <w:top w:val="nil"/>
              <w:left w:val="nil"/>
              <w:bottom w:val="nil"/>
              <w:right w:val="nil"/>
            </w:tcBorders>
            <w:shd w:val="clear" w:color="000000" w:fill="FFFFFF"/>
            <w:noWrap/>
            <w:vAlign w:val="center"/>
            <w:hideMark/>
          </w:tcPr>
          <w:p w14:paraId="60FD7A6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0.0045</w:t>
            </w:r>
          </w:p>
        </w:tc>
        <w:tc>
          <w:tcPr>
            <w:tcW w:w="1642" w:type="dxa"/>
            <w:tcBorders>
              <w:top w:val="nil"/>
              <w:left w:val="nil"/>
              <w:bottom w:val="nil"/>
              <w:right w:val="nil"/>
            </w:tcBorders>
            <w:shd w:val="clear" w:color="000000" w:fill="FFFFFF"/>
            <w:noWrap/>
            <w:vAlign w:val="center"/>
            <w:hideMark/>
          </w:tcPr>
          <w:p w14:paraId="774CA677"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101%</w:t>
            </w:r>
          </w:p>
        </w:tc>
        <w:tc>
          <w:tcPr>
            <w:tcW w:w="1280" w:type="dxa"/>
            <w:tcBorders>
              <w:top w:val="nil"/>
              <w:left w:val="nil"/>
              <w:bottom w:val="nil"/>
              <w:right w:val="nil"/>
            </w:tcBorders>
            <w:shd w:val="clear" w:color="000000" w:fill="FFFFFF"/>
            <w:noWrap/>
            <w:vAlign w:val="center"/>
            <w:hideMark/>
          </w:tcPr>
          <w:p w14:paraId="529B0B2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0.08</w:t>
            </w:r>
          </w:p>
        </w:tc>
        <w:tc>
          <w:tcPr>
            <w:tcW w:w="2400" w:type="dxa"/>
            <w:tcBorders>
              <w:top w:val="nil"/>
              <w:left w:val="nil"/>
              <w:bottom w:val="nil"/>
              <w:right w:val="nil"/>
            </w:tcBorders>
            <w:shd w:val="clear" w:color="000000" w:fill="FFFFFF"/>
            <w:noWrap/>
            <w:vAlign w:val="center"/>
            <w:hideMark/>
          </w:tcPr>
          <w:p w14:paraId="2107D4F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8%</w:t>
            </w:r>
          </w:p>
        </w:tc>
      </w:tr>
      <w:tr w:rsidR="005826E2" w:rsidRPr="005826E2" w14:paraId="03A87993" w14:textId="77777777" w:rsidTr="00667577">
        <w:trPr>
          <w:trHeight w:val="255"/>
        </w:trPr>
        <w:tc>
          <w:tcPr>
            <w:tcW w:w="683" w:type="dxa"/>
            <w:tcBorders>
              <w:top w:val="nil"/>
              <w:left w:val="nil"/>
              <w:bottom w:val="nil"/>
              <w:right w:val="nil"/>
            </w:tcBorders>
            <w:shd w:val="clear" w:color="000000" w:fill="FFFFFF"/>
            <w:noWrap/>
            <w:vAlign w:val="center"/>
            <w:hideMark/>
          </w:tcPr>
          <w:p w14:paraId="51118CF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w:t>
            </w:r>
          </w:p>
        </w:tc>
        <w:tc>
          <w:tcPr>
            <w:tcW w:w="1282" w:type="dxa"/>
            <w:gridSpan w:val="2"/>
            <w:tcBorders>
              <w:top w:val="nil"/>
              <w:left w:val="nil"/>
              <w:bottom w:val="nil"/>
              <w:right w:val="nil"/>
            </w:tcBorders>
            <w:shd w:val="clear" w:color="000000" w:fill="FFFFFF"/>
            <w:noWrap/>
            <w:vAlign w:val="center"/>
            <w:hideMark/>
          </w:tcPr>
          <w:p w14:paraId="2959A1F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-2.3</w:t>
            </w:r>
          </w:p>
        </w:tc>
        <w:tc>
          <w:tcPr>
            <w:tcW w:w="856" w:type="dxa"/>
            <w:tcBorders>
              <w:top w:val="nil"/>
              <w:left w:val="nil"/>
              <w:bottom w:val="nil"/>
              <w:right w:val="nil"/>
            </w:tcBorders>
            <w:shd w:val="clear" w:color="000000" w:fill="FFFFFF"/>
            <w:noWrap/>
            <w:vAlign w:val="center"/>
            <w:hideMark/>
          </w:tcPr>
          <w:p w14:paraId="6EA7707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-3.1</w:t>
            </w:r>
          </w:p>
        </w:tc>
        <w:tc>
          <w:tcPr>
            <w:tcW w:w="1642" w:type="dxa"/>
            <w:tcBorders>
              <w:top w:val="nil"/>
              <w:left w:val="nil"/>
              <w:bottom w:val="nil"/>
              <w:right w:val="nil"/>
            </w:tcBorders>
            <w:shd w:val="clear" w:color="000000" w:fill="FFFFFF"/>
            <w:noWrap/>
            <w:vAlign w:val="center"/>
            <w:hideMark/>
          </w:tcPr>
          <w:p w14:paraId="2891BEF3"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-36%</w:t>
            </w:r>
          </w:p>
        </w:tc>
        <w:tc>
          <w:tcPr>
            <w:tcW w:w="1280" w:type="dxa"/>
            <w:tcBorders>
              <w:top w:val="nil"/>
              <w:left w:val="nil"/>
              <w:bottom w:val="nil"/>
              <w:right w:val="nil"/>
            </w:tcBorders>
            <w:shd w:val="clear" w:color="000000" w:fill="FFFFFF"/>
            <w:noWrap/>
            <w:vAlign w:val="center"/>
            <w:hideMark/>
          </w:tcPr>
          <w:p w14:paraId="7A573BB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0.18</w:t>
            </w:r>
          </w:p>
        </w:tc>
        <w:tc>
          <w:tcPr>
            <w:tcW w:w="2400" w:type="dxa"/>
            <w:tcBorders>
              <w:top w:val="nil"/>
              <w:left w:val="nil"/>
              <w:bottom w:val="nil"/>
              <w:right w:val="nil"/>
            </w:tcBorders>
            <w:shd w:val="clear" w:color="000000" w:fill="FFFFFF"/>
            <w:noWrap/>
            <w:vAlign w:val="center"/>
            <w:hideMark/>
          </w:tcPr>
          <w:p w14:paraId="7F9B4B6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w:t>
            </w:r>
          </w:p>
        </w:tc>
      </w:tr>
      <w:tr w:rsidR="005826E2" w:rsidRPr="005826E2" w14:paraId="6C25C2C8" w14:textId="77777777" w:rsidTr="00667577">
        <w:trPr>
          <w:trHeight w:val="255"/>
        </w:trPr>
        <w:tc>
          <w:tcPr>
            <w:tcW w:w="683" w:type="dxa"/>
            <w:tcBorders>
              <w:top w:val="nil"/>
              <w:left w:val="nil"/>
              <w:bottom w:val="nil"/>
              <w:right w:val="nil"/>
            </w:tcBorders>
            <w:shd w:val="clear" w:color="000000" w:fill="FFFFFF"/>
            <w:noWrap/>
            <w:vAlign w:val="center"/>
            <w:hideMark/>
          </w:tcPr>
          <w:p w14:paraId="714CB71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w:t>
            </w:r>
          </w:p>
        </w:tc>
        <w:tc>
          <w:tcPr>
            <w:tcW w:w="1282" w:type="dxa"/>
            <w:gridSpan w:val="2"/>
            <w:tcBorders>
              <w:top w:val="nil"/>
              <w:left w:val="nil"/>
              <w:bottom w:val="nil"/>
              <w:right w:val="nil"/>
            </w:tcBorders>
            <w:shd w:val="clear" w:color="000000" w:fill="FFFFFF"/>
            <w:noWrap/>
            <w:vAlign w:val="center"/>
            <w:hideMark/>
          </w:tcPr>
          <w:p w14:paraId="27180FF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-6.8</w:t>
            </w:r>
          </w:p>
        </w:tc>
        <w:tc>
          <w:tcPr>
            <w:tcW w:w="856" w:type="dxa"/>
            <w:tcBorders>
              <w:top w:val="nil"/>
              <w:left w:val="nil"/>
              <w:bottom w:val="nil"/>
              <w:right w:val="nil"/>
            </w:tcBorders>
            <w:shd w:val="clear" w:color="000000" w:fill="FFFFFF"/>
            <w:noWrap/>
            <w:vAlign w:val="center"/>
            <w:hideMark/>
          </w:tcPr>
          <w:p w14:paraId="612A773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-5.4</w:t>
            </w:r>
          </w:p>
        </w:tc>
        <w:tc>
          <w:tcPr>
            <w:tcW w:w="1642" w:type="dxa"/>
            <w:tcBorders>
              <w:top w:val="nil"/>
              <w:left w:val="nil"/>
              <w:bottom w:val="nil"/>
              <w:right w:val="nil"/>
            </w:tcBorders>
            <w:shd w:val="clear" w:color="000000" w:fill="FFFFFF"/>
            <w:noWrap/>
            <w:vAlign w:val="center"/>
            <w:hideMark/>
          </w:tcPr>
          <w:p w14:paraId="352B4634"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20%</w:t>
            </w:r>
          </w:p>
        </w:tc>
        <w:tc>
          <w:tcPr>
            <w:tcW w:w="1280" w:type="dxa"/>
            <w:tcBorders>
              <w:top w:val="nil"/>
              <w:left w:val="nil"/>
              <w:bottom w:val="nil"/>
              <w:right w:val="nil"/>
            </w:tcBorders>
            <w:shd w:val="clear" w:color="000000" w:fill="FFFFFF"/>
            <w:noWrap/>
            <w:vAlign w:val="center"/>
            <w:hideMark/>
          </w:tcPr>
          <w:p w14:paraId="5831039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0.18</w:t>
            </w:r>
          </w:p>
        </w:tc>
        <w:tc>
          <w:tcPr>
            <w:tcW w:w="2400" w:type="dxa"/>
            <w:tcBorders>
              <w:top w:val="nil"/>
              <w:left w:val="nil"/>
              <w:bottom w:val="nil"/>
              <w:right w:val="nil"/>
            </w:tcBorders>
            <w:shd w:val="clear" w:color="000000" w:fill="FFFFFF"/>
            <w:noWrap/>
            <w:vAlign w:val="center"/>
            <w:hideMark/>
          </w:tcPr>
          <w:p w14:paraId="6B63BBB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w:t>
            </w:r>
          </w:p>
        </w:tc>
      </w:tr>
      <w:tr w:rsidR="005826E2" w:rsidRPr="005826E2" w14:paraId="5D290461" w14:textId="77777777" w:rsidTr="00667577">
        <w:trPr>
          <w:trHeight w:val="255"/>
        </w:trPr>
        <w:tc>
          <w:tcPr>
            <w:tcW w:w="683" w:type="dxa"/>
            <w:tcBorders>
              <w:top w:val="nil"/>
              <w:left w:val="nil"/>
              <w:bottom w:val="single" w:sz="4" w:space="0" w:color="auto"/>
              <w:right w:val="nil"/>
            </w:tcBorders>
            <w:shd w:val="clear" w:color="000000" w:fill="FFFFFF"/>
            <w:noWrap/>
            <w:vAlign w:val="center"/>
            <w:hideMark/>
          </w:tcPr>
          <w:p w14:paraId="7FAE685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w:t>
            </w:r>
          </w:p>
        </w:tc>
        <w:tc>
          <w:tcPr>
            <w:tcW w:w="1282" w:type="dxa"/>
            <w:gridSpan w:val="2"/>
            <w:tcBorders>
              <w:top w:val="nil"/>
              <w:left w:val="nil"/>
              <w:bottom w:val="single" w:sz="4" w:space="0" w:color="auto"/>
              <w:right w:val="nil"/>
            </w:tcBorders>
            <w:shd w:val="clear" w:color="000000" w:fill="FFFFFF"/>
            <w:noWrap/>
            <w:vAlign w:val="center"/>
            <w:hideMark/>
          </w:tcPr>
          <w:p w14:paraId="60E6C5C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-22</w:t>
            </w:r>
          </w:p>
        </w:tc>
        <w:tc>
          <w:tcPr>
            <w:tcW w:w="856" w:type="dxa"/>
            <w:tcBorders>
              <w:top w:val="nil"/>
              <w:left w:val="nil"/>
              <w:bottom w:val="nil"/>
              <w:right w:val="nil"/>
            </w:tcBorders>
            <w:shd w:val="clear" w:color="000000" w:fill="FFFFFF"/>
            <w:noWrap/>
            <w:vAlign w:val="center"/>
            <w:hideMark/>
          </w:tcPr>
          <w:p w14:paraId="103E1ED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-21</w:t>
            </w:r>
          </w:p>
        </w:tc>
        <w:tc>
          <w:tcPr>
            <w:tcW w:w="1642" w:type="dxa"/>
            <w:tcBorders>
              <w:top w:val="nil"/>
              <w:left w:val="nil"/>
              <w:bottom w:val="nil"/>
              <w:right w:val="nil"/>
            </w:tcBorders>
            <w:shd w:val="clear" w:color="000000" w:fill="FFFFFF"/>
            <w:noWrap/>
            <w:vAlign w:val="center"/>
            <w:hideMark/>
          </w:tcPr>
          <w:p w14:paraId="3A32C74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w:t>
            </w:r>
          </w:p>
        </w:tc>
        <w:tc>
          <w:tcPr>
            <w:tcW w:w="1280" w:type="dxa"/>
            <w:tcBorders>
              <w:top w:val="nil"/>
              <w:left w:val="nil"/>
              <w:bottom w:val="nil"/>
              <w:right w:val="nil"/>
            </w:tcBorders>
            <w:shd w:val="clear" w:color="000000" w:fill="FFFFFF"/>
            <w:noWrap/>
            <w:vAlign w:val="center"/>
            <w:hideMark/>
          </w:tcPr>
          <w:p w14:paraId="49138ABE"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0.57</w:t>
            </w:r>
          </w:p>
        </w:tc>
        <w:tc>
          <w:tcPr>
            <w:tcW w:w="2400" w:type="dxa"/>
            <w:tcBorders>
              <w:top w:val="nil"/>
              <w:left w:val="nil"/>
              <w:bottom w:val="nil"/>
              <w:right w:val="nil"/>
            </w:tcBorders>
            <w:shd w:val="clear" w:color="000000" w:fill="FFFFFF"/>
            <w:noWrap/>
            <w:vAlign w:val="center"/>
            <w:hideMark/>
          </w:tcPr>
          <w:p w14:paraId="0DBE6B5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w:t>
            </w:r>
          </w:p>
        </w:tc>
      </w:tr>
      <w:tr w:rsidR="005826E2" w:rsidRPr="005826E2" w14:paraId="05E5AE4A" w14:textId="77777777" w:rsidTr="00667577">
        <w:trPr>
          <w:trHeight w:val="300"/>
        </w:trPr>
        <w:tc>
          <w:tcPr>
            <w:tcW w:w="683" w:type="dxa"/>
            <w:tcBorders>
              <w:top w:val="nil"/>
              <w:left w:val="nil"/>
              <w:bottom w:val="nil"/>
              <w:right w:val="nil"/>
            </w:tcBorders>
            <w:shd w:val="clear" w:color="000000" w:fill="FFFFFF"/>
            <w:noWrap/>
            <w:vAlign w:val="center"/>
            <w:hideMark/>
          </w:tcPr>
          <w:p w14:paraId="0999EF4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c>
          <w:tcPr>
            <w:tcW w:w="757" w:type="dxa"/>
            <w:tcBorders>
              <w:top w:val="nil"/>
              <w:left w:val="nil"/>
              <w:bottom w:val="nil"/>
              <w:right w:val="nil"/>
            </w:tcBorders>
            <w:shd w:val="clear" w:color="000000" w:fill="FFFFFF"/>
            <w:noWrap/>
            <w:vAlign w:val="center"/>
            <w:hideMark/>
          </w:tcPr>
          <w:p w14:paraId="717D622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c>
          <w:tcPr>
            <w:tcW w:w="4303" w:type="dxa"/>
            <w:gridSpan w:val="4"/>
            <w:tcBorders>
              <w:top w:val="single" w:sz="4" w:space="0" w:color="auto"/>
              <w:left w:val="nil"/>
              <w:bottom w:val="nil"/>
              <w:right w:val="nil"/>
            </w:tcBorders>
            <w:shd w:val="clear" w:color="000000" w:fill="FFFFFF"/>
            <w:noWrap/>
            <w:vAlign w:val="center"/>
            <w:hideMark/>
          </w:tcPr>
          <w:p w14:paraId="722BCA42" w14:textId="77777777" w:rsidR="005826E2" w:rsidRPr="005826E2" w:rsidRDefault="005826E2" w:rsidP="005826E2">
            <w:pPr>
              <w:spacing w:after="0" w:line="240" w:lineRule="auto"/>
              <w:jc w:val="right"/>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xml:space="preserve">Weighted Net Volume </w:t>
            </w:r>
            <w:proofErr w:type="gramStart"/>
            <w:r w:rsidRPr="005826E2">
              <w:rPr>
                <w:rFonts w:ascii="Times New Roman" w:eastAsia="Times New Roman" w:hAnsi="Times New Roman" w:cs="Times New Roman"/>
                <w:color w:val="000000"/>
                <w:sz w:val="20"/>
                <w:szCs w:val="20"/>
              </w:rPr>
              <w:t>Change  Disagreement</w:t>
            </w:r>
            <w:proofErr w:type="gramEnd"/>
          </w:p>
        </w:tc>
        <w:tc>
          <w:tcPr>
            <w:tcW w:w="2400" w:type="dxa"/>
            <w:tcBorders>
              <w:top w:val="single" w:sz="4" w:space="0" w:color="auto"/>
              <w:left w:val="nil"/>
              <w:bottom w:val="nil"/>
              <w:right w:val="nil"/>
            </w:tcBorders>
            <w:shd w:val="clear" w:color="000000" w:fill="FFFFFF"/>
            <w:noWrap/>
            <w:vAlign w:val="center"/>
            <w:hideMark/>
          </w:tcPr>
          <w:p w14:paraId="14FB407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7%</w:t>
            </w:r>
          </w:p>
        </w:tc>
      </w:tr>
    </w:tbl>
    <w:p w14:paraId="575C0D2C"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p>
    <w:p w14:paraId="017224FC" w14:textId="77777777" w:rsidR="005826E2" w:rsidRPr="005826E2" w:rsidRDefault="005826E2" w:rsidP="005826E2">
      <w:pPr>
        <w:keepNext/>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bookmarkStart w:id="28" w:name="_Toc6834498"/>
      <w:r w:rsidRPr="005826E2">
        <w:rPr>
          <w:rFonts w:ascii="Times New Roman" w:hAnsi="Times New Roman"/>
          <w:iCs/>
          <w:color w:val="000000" w:themeColor="text1"/>
          <w:sz w:val="24"/>
          <w:szCs w:val="18"/>
        </w:rPr>
        <w:t xml:space="preserve">Table </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STYLEREF 1 \s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SEQ Table \* ARABIC \s 1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2</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 xml:space="preserve"> AIMM estimated erosion and deposition by order</w:t>
      </w:r>
      <w:bookmarkEnd w:id="28"/>
    </w:p>
    <w:tbl>
      <w:tblPr>
        <w:tblW w:w="8190" w:type="dxa"/>
        <w:tblLook w:val="04A0" w:firstRow="1" w:lastRow="0" w:firstColumn="1" w:lastColumn="0" w:noHBand="0" w:noVBand="1"/>
      </w:tblPr>
      <w:tblGrid>
        <w:gridCol w:w="860"/>
        <w:gridCol w:w="2416"/>
        <w:gridCol w:w="2014"/>
        <w:gridCol w:w="1611"/>
        <w:gridCol w:w="1289"/>
      </w:tblGrid>
      <w:tr w:rsidR="005826E2" w:rsidRPr="005826E2" w14:paraId="792FFCFB" w14:textId="77777777" w:rsidTr="00667577">
        <w:trPr>
          <w:trHeight w:val="606"/>
        </w:trPr>
        <w:tc>
          <w:tcPr>
            <w:tcW w:w="860" w:type="dxa"/>
            <w:tcBorders>
              <w:top w:val="nil"/>
              <w:left w:val="nil"/>
              <w:bottom w:val="single" w:sz="4" w:space="0" w:color="auto"/>
              <w:right w:val="nil"/>
            </w:tcBorders>
            <w:shd w:val="clear" w:color="000000" w:fill="FFFFFF"/>
            <w:noWrap/>
            <w:vAlign w:val="center"/>
            <w:hideMark/>
          </w:tcPr>
          <w:p w14:paraId="13017C6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Order</w:t>
            </w:r>
          </w:p>
        </w:tc>
        <w:tc>
          <w:tcPr>
            <w:tcW w:w="2416" w:type="dxa"/>
            <w:tcBorders>
              <w:top w:val="nil"/>
              <w:left w:val="nil"/>
              <w:bottom w:val="single" w:sz="4" w:space="0" w:color="auto"/>
              <w:right w:val="nil"/>
            </w:tcBorders>
            <w:shd w:val="clear" w:color="000000" w:fill="FFFFFF"/>
            <w:vAlign w:val="center"/>
            <w:hideMark/>
          </w:tcPr>
          <w:p w14:paraId="3B0EB01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Total Length in Watershed (km)</w:t>
            </w:r>
          </w:p>
        </w:tc>
        <w:tc>
          <w:tcPr>
            <w:tcW w:w="2014" w:type="dxa"/>
            <w:tcBorders>
              <w:top w:val="nil"/>
              <w:left w:val="nil"/>
              <w:bottom w:val="single" w:sz="4" w:space="0" w:color="auto"/>
              <w:right w:val="nil"/>
            </w:tcBorders>
            <w:shd w:val="clear" w:color="000000" w:fill="FFFFFF"/>
            <w:noWrap/>
            <w:vAlign w:val="center"/>
            <w:hideMark/>
          </w:tcPr>
          <w:p w14:paraId="3D85856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Deposition (m</w:t>
            </w:r>
            <w:r w:rsidRPr="005826E2">
              <w:rPr>
                <w:rFonts w:ascii="Times New Roman" w:eastAsia="Times New Roman" w:hAnsi="Times New Roman" w:cs="Times New Roman"/>
                <w:color w:val="000000"/>
                <w:sz w:val="20"/>
                <w:szCs w:val="20"/>
                <w:vertAlign w:val="superscript"/>
              </w:rPr>
              <w:t>3</w:t>
            </w:r>
            <w:r w:rsidRPr="005826E2">
              <w:rPr>
                <w:rFonts w:ascii="Times New Roman" w:eastAsia="Times New Roman" w:hAnsi="Times New Roman" w:cs="Times New Roman"/>
                <w:color w:val="000000"/>
                <w:sz w:val="20"/>
                <w:szCs w:val="20"/>
              </w:rPr>
              <w:t>)</w:t>
            </w:r>
          </w:p>
        </w:tc>
        <w:tc>
          <w:tcPr>
            <w:tcW w:w="1611" w:type="dxa"/>
            <w:tcBorders>
              <w:top w:val="nil"/>
              <w:left w:val="nil"/>
              <w:bottom w:val="single" w:sz="4" w:space="0" w:color="auto"/>
              <w:right w:val="nil"/>
            </w:tcBorders>
            <w:shd w:val="clear" w:color="000000" w:fill="FFFFFF"/>
            <w:noWrap/>
            <w:vAlign w:val="center"/>
            <w:hideMark/>
          </w:tcPr>
          <w:p w14:paraId="465BC74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Erosion (m</w:t>
            </w:r>
            <w:r w:rsidRPr="005826E2">
              <w:rPr>
                <w:rFonts w:ascii="Times New Roman" w:eastAsia="Times New Roman" w:hAnsi="Times New Roman" w:cs="Times New Roman"/>
                <w:color w:val="000000"/>
                <w:sz w:val="20"/>
                <w:szCs w:val="20"/>
                <w:vertAlign w:val="superscript"/>
              </w:rPr>
              <w:t>3</w:t>
            </w:r>
            <w:r w:rsidRPr="005826E2">
              <w:rPr>
                <w:rFonts w:ascii="Times New Roman" w:eastAsia="Times New Roman" w:hAnsi="Times New Roman" w:cs="Times New Roman"/>
                <w:color w:val="000000"/>
                <w:sz w:val="20"/>
                <w:szCs w:val="20"/>
              </w:rPr>
              <w:t>)</w:t>
            </w:r>
          </w:p>
        </w:tc>
        <w:tc>
          <w:tcPr>
            <w:tcW w:w="1289" w:type="dxa"/>
            <w:tcBorders>
              <w:top w:val="nil"/>
              <w:left w:val="nil"/>
              <w:bottom w:val="single" w:sz="4" w:space="0" w:color="auto"/>
              <w:right w:val="nil"/>
            </w:tcBorders>
            <w:shd w:val="clear" w:color="000000" w:fill="FFFFFF"/>
            <w:noWrap/>
            <w:vAlign w:val="center"/>
            <w:hideMark/>
          </w:tcPr>
          <w:p w14:paraId="49F939E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gramStart"/>
            <w:r w:rsidRPr="005826E2">
              <w:rPr>
                <w:rFonts w:ascii="Times New Roman" w:eastAsia="Times New Roman" w:hAnsi="Times New Roman" w:cs="Times New Roman"/>
                <w:color w:val="000000"/>
                <w:sz w:val="20"/>
                <w:szCs w:val="20"/>
              </w:rPr>
              <w:t>Net  (</w:t>
            </w:r>
            <w:proofErr w:type="gramEnd"/>
            <w:r w:rsidRPr="005826E2">
              <w:rPr>
                <w:rFonts w:ascii="Times New Roman" w:eastAsia="Times New Roman" w:hAnsi="Times New Roman" w:cs="Times New Roman"/>
                <w:color w:val="000000"/>
                <w:sz w:val="20"/>
                <w:szCs w:val="20"/>
              </w:rPr>
              <w:t>m</w:t>
            </w:r>
            <w:r w:rsidRPr="005826E2">
              <w:rPr>
                <w:rFonts w:ascii="Times New Roman" w:eastAsia="Times New Roman" w:hAnsi="Times New Roman" w:cs="Times New Roman"/>
                <w:color w:val="000000"/>
                <w:sz w:val="20"/>
                <w:szCs w:val="20"/>
                <w:vertAlign w:val="superscript"/>
              </w:rPr>
              <w:t>3</w:t>
            </w:r>
            <w:r w:rsidRPr="005826E2">
              <w:rPr>
                <w:rFonts w:ascii="Times New Roman" w:eastAsia="Times New Roman" w:hAnsi="Times New Roman" w:cs="Times New Roman"/>
                <w:color w:val="000000"/>
                <w:sz w:val="20"/>
                <w:szCs w:val="20"/>
              </w:rPr>
              <w:t>)</w:t>
            </w:r>
          </w:p>
        </w:tc>
      </w:tr>
      <w:tr w:rsidR="005826E2" w:rsidRPr="005826E2" w14:paraId="4F78CBCC" w14:textId="77777777" w:rsidTr="00667577">
        <w:trPr>
          <w:trHeight w:val="327"/>
        </w:trPr>
        <w:tc>
          <w:tcPr>
            <w:tcW w:w="860" w:type="dxa"/>
            <w:tcBorders>
              <w:top w:val="nil"/>
              <w:left w:val="nil"/>
              <w:bottom w:val="nil"/>
              <w:right w:val="nil"/>
            </w:tcBorders>
            <w:shd w:val="clear" w:color="000000" w:fill="FFFFFF"/>
            <w:noWrap/>
            <w:vAlign w:val="center"/>
            <w:hideMark/>
          </w:tcPr>
          <w:p w14:paraId="410918C1"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w:t>
            </w:r>
          </w:p>
        </w:tc>
        <w:tc>
          <w:tcPr>
            <w:tcW w:w="2416" w:type="dxa"/>
            <w:tcBorders>
              <w:top w:val="nil"/>
              <w:left w:val="nil"/>
              <w:bottom w:val="nil"/>
              <w:right w:val="nil"/>
            </w:tcBorders>
            <w:shd w:val="clear" w:color="000000" w:fill="FFFFFF"/>
            <w:noWrap/>
            <w:vAlign w:val="center"/>
            <w:hideMark/>
          </w:tcPr>
          <w:p w14:paraId="1507696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1079</w:t>
            </w:r>
          </w:p>
        </w:tc>
        <w:tc>
          <w:tcPr>
            <w:tcW w:w="2014" w:type="dxa"/>
            <w:tcBorders>
              <w:top w:val="nil"/>
              <w:left w:val="nil"/>
              <w:bottom w:val="nil"/>
              <w:right w:val="nil"/>
            </w:tcBorders>
            <w:shd w:val="clear" w:color="000000" w:fill="FFFFFF"/>
            <w:noWrap/>
            <w:vAlign w:val="center"/>
            <w:hideMark/>
          </w:tcPr>
          <w:p w14:paraId="58642EB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495675</w:t>
            </w:r>
          </w:p>
        </w:tc>
        <w:tc>
          <w:tcPr>
            <w:tcW w:w="1611" w:type="dxa"/>
            <w:tcBorders>
              <w:top w:val="nil"/>
              <w:left w:val="nil"/>
              <w:bottom w:val="nil"/>
              <w:right w:val="nil"/>
            </w:tcBorders>
            <w:shd w:val="clear" w:color="000000" w:fill="FFFFFF"/>
            <w:noWrap/>
            <w:vAlign w:val="center"/>
            <w:hideMark/>
          </w:tcPr>
          <w:p w14:paraId="16623F6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-649368</w:t>
            </w:r>
          </w:p>
        </w:tc>
        <w:tc>
          <w:tcPr>
            <w:tcW w:w="1289" w:type="dxa"/>
            <w:tcBorders>
              <w:top w:val="nil"/>
              <w:left w:val="nil"/>
              <w:bottom w:val="nil"/>
              <w:right w:val="nil"/>
            </w:tcBorders>
            <w:shd w:val="clear" w:color="000000" w:fill="FFFFFF"/>
            <w:noWrap/>
            <w:vAlign w:val="center"/>
            <w:hideMark/>
          </w:tcPr>
          <w:p w14:paraId="522779C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-153693</w:t>
            </w:r>
          </w:p>
        </w:tc>
      </w:tr>
      <w:tr w:rsidR="005826E2" w:rsidRPr="005826E2" w14:paraId="35BC2004" w14:textId="77777777" w:rsidTr="00667577">
        <w:trPr>
          <w:trHeight w:val="327"/>
        </w:trPr>
        <w:tc>
          <w:tcPr>
            <w:tcW w:w="860" w:type="dxa"/>
            <w:tcBorders>
              <w:top w:val="nil"/>
              <w:left w:val="nil"/>
              <w:bottom w:val="nil"/>
              <w:right w:val="nil"/>
            </w:tcBorders>
            <w:shd w:val="clear" w:color="000000" w:fill="FFFFFF"/>
            <w:noWrap/>
            <w:vAlign w:val="center"/>
            <w:hideMark/>
          </w:tcPr>
          <w:p w14:paraId="682F2387"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w:t>
            </w:r>
          </w:p>
        </w:tc>
        <w:tc>
          <w:tcPr>
            <w:tcW w:w="2416" w:type="dxa"/>
            <w:tcBorders>
              <w:top w:val="nil"/>
              <w:left w:val="nil"/>
              <w:bottom w:val="nil"/>
              <w:right w:val="nil"/>
            </w:tcBorders>
            <w:shd w:val="clear" w:color="000000" w:fill="FFFFFF"/>
            <w:noWrap/>
            <w:vAlign w:val="center"/>
            <w:hideMark/>
          </w:tcPr>
          <w:p w14:paraId="7372EAC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738</w:t>
            </w:r>
          </w:p>
        </w:tc>
        <w:tc>
          <w:tcPr>
            <w:tcW w:w="2014" w:type="dxa"/>
            <w:tcBorders>
              <w:top w:val="nil"/>
              <w:left w:val="nil"/>
              <w:bottom w:val="nil"/>
              <w:right w:val="nil"/>
            </w:tcBorders>
            <w:shd w:val="clear" w:color="000000" w:fill="FFFFFF"/>
            <w:noWrap/>
            <w:vAlign w:val="center"/>
            <w:hideMark/>
          </w:tcPr>
          <w:p w14:paraId="1AA4B97E"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1100688</w:t>
            </w:r>
          </w:p>
        </w:tc>
        <w:tc>
          <w:tcPr>
            <w:tcW w:w="1611" w:type="dxa"/>
            <w:tcBorders>
              <w:top w:val="nil"/>
              <w:left w:val="nil"/>
              <w:bottom w:val="nil"/>
              <w:right w:val="nil"/>
            </w:tcBorders>
            <w:shd w:val="clear" w:color="000000" w:fill="FFFFFF"/>
            <w:noWrap/>
            <w:vAlign w:val="center"/>
            <w:hideMark/>
          </w:tcPr>
          <w:p w14:paraId="3C6CE66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-2032272</w:t>
            </w:r>
          </w:p>
        </w:tc>
        <w:tc>
          <w:tcPr>
            <w:tcW w:w="1289" w:type="dxa"/>
            <w:tcBorders>
              <w:top w:val="nil"/>
              <w:left w:val="nil"/>
              <w:bottom w:val="nil"/>
              <w:right w:val="nil"/>
            </w:tcBorders>
            <w:shd w:val="clear" w:color="000000" w:fill="FFFFFF"/>
            <w:noWrap/>
            <w:vAlign w:val="center"/>
            <w:hideMark/>
          </w:tcPr>
          <w:p w14:paraId="38D09A4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-931584</w:t>
            </w:r>
          </w:p>
        </w:tc>
      </w:tr>
      <w:tr w:rsidR="005826E2" w:rsidRPr="005826E2" w14:paraId="11CD7AA9" w14:textId="77777777" w:rsidTr="00667577">
        <w:trPr>
          <w:trHeight w:val="327"/>
        </w:trPr>
        <w:tc>
          <w:tcPr>
            <w:tcW w:w="860" w:type="dxa"/>
            <w:tcBorders>
              <w:top w:val="nil"/>
              <w:left w:val="nil"/>
              <w:bottom w:val="nil"/>
              <w:right w:val="nil"/>
            </w:tcBorders>
            <w:shd w:val="clear" w:color="000000" w:fill="FFFFFF"/>
            <w:noWrap/>
            <w:vAlign w:val="center"/>
            <w:hideMark/>
          </w:tcPr>
          <w:p w14:paraId="0D24FB1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w:t>
            </w:r>
          </w:p>
        </w:tc>
        <w:tc>
          <w:tcPr>
            <w:tcW w:w="2416" w:type="dxa"/>
            <w:tcBorders>
              <w:top w:val="nil"/>
              <w:left w:val="nil"/>
              <w:bottom w:val="nil"/>
              <w:right w:val="nil"/>
            </w:tcBorders>
            <w:shd w:val="clear" w:color="000000" w:fill="FFFFFF"/>
            <w:noWrap/>
            <w:vAlign w:val="center"/>
            <w:hideMark/>
          </w:tcPr>
          <w:p w14:paraId="5EC17FB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252</w:t>
            </w:r>
          </w:p>
        </w:tc>
        <w:tc>
          <w:tcPr>
            <w:tcW w:w="2014" w:type="dxa"/>
            <w:tcBorders>
              <w:top w:val="nil"/>
              <w:left w:val="nil"/>
              <w:bottom w:val="nil"/>
              <w:right w:val="nil"/>
            </w:tcBorders>
            <w:shd w:val="clear" w:color="000000" w:fill="FFFFFF"/>
            <w:noWrap/>
            <w:vAlign w:val="center"/>
            <w:hideMark/>
          </w:tcPr>
          <w:p w14:paraId="404C7714"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755171</w:t>
            </w:r>
          </w:p>
        </w:tc>
        <w:tc>
          <w:tcPr>
            <w:tcW w:w="1611" w:type="dxa"/>
            <w:tcBorders>
              <w:top w:val="nil"/>
              <w:left w:val="nil"/>
              <w:bottom w:val="nil"/>
              <w:right w:val="nil"/>
            </w:tcBorders>
            <w:shd w:val="clear" w:color="000000" w:fill="FFFFFF"/>
            <w:noWrap/>
            <w:vAlign w:val="center"/>
            <w:hideMark/>
          </w:tcPr>
          <w:p w14:paraId="5081029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-1755537</w:t>
            </w:r>
          </w:p>
        </w:tc>
        <w:tc>
          <w:tcPr>
            <w:tcW w:w="1289" w:type="dxa"/>
            <w:tcBorders>
              <w:top w:val="nil"/>
              <w:left w:val="nil"/>
              <w:bottom w:val="nil"/>
              <w:right w:val="nil"/>
            </w:tcBorders>
            <w:shd w:val="clear" w:color="000000" w:fill="FFFFFF"/>
            <w:noWrap/>
            <w:vAlign w:val="center"/>
            <w:hideMark/>
          </w:tcPr>
          <w:p w14:paraId="004C7FB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-1000365</w:t>
            </w:r>
          </w:p>
        </w:tc>
      </w:tr>
      <w:tr w:rsidR="005826E2" w:rsidRPr="005826E2" w14:paraId="48331031" w14:textId="77777777" w:rsidTr="00667577">
        <w:trPr>
          <w:trHeight w:val="327"/>
        </w:trPr>
        <w:tc>
          <w:tcPr>
            <w:tcW w:w="860" w:type="dxa"/>
            <w:tcBorders>
              <w:top w:val="nil"/>
              <w:left w:val="nil"/>
              <w:bottom w:val="single" w:sz="4" w:space="0" w:color="auto"/>
              <w:right w:val="nil"/>
            </w:tcBorders>
            <w:shd w:val="clear" w:color="000000" w:fill="FFFFFF"/>
            <w:noWrap/>
            <w:vAlign w:val="center"/>
            <w:hideMark/>
          </w:tcPr>
          <w:p w14:paraId="12E768A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w:t>
            </w:r>
          </w:p>
        </w:tc>
        <w:tc>
          <w:tcPr>
            <w:tcW w:w="2416" w:type="dxa"/>
            <w:tcBorders>
              <w:top w:val="nil"/>
              <w:left w:val="nil"/>
              <w:bottom w:val="single" w:sz="4" w:space="0" w:color="auto"/>
              <w:right w:val="nil"/>
            </w:tcBorders>
            <w:shd w:val="clear" w:color="000000" w:fill="FFFFFF"/>
            <w:noWrap/>
            <w:vAlign w:val="center"/>
            <w:hideMark/>
          </w:tcPr>
          <w:p w14:paraId="52A7C7C3"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248</w:t>
            </w:r>
          </w:p>
        </w:tc>
        <w:tc>
          <w:tcPr>
            <w:tcW w:w="2014" w:type="dxa"/>
            <w:tcBorders>
              <w:top w:val="nil"/>
              <w:left w:val="nil"/>
              <w:bottom w:val="single" w:sz="4" w:space="0" w:color="auto"/>
              <w:right w:val="nil"/>
            </w:tcBorders>
            <w:shd w:val="clear" w:color="000000" w:fill="FFFFFF"/>
            <w:noWrap/>
            <w:vAlign w:val="center"/>
            <w:hideMark/>
          </w:tcPr>
          <w:p w14:paraId="09A76D19"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545607</w:t>
            </w:r>
          </w:p>
        </w:tc>
        <w:tc>
          <w:tcPr>
            <w:tcW w:w="1611" w:type="dxa"/>
            <w:tcBorders>
              <w:top w:val="nil"/>
              <w:left w:val="nil"/>
              <w:bottom w:val="single" w:sz="4" w:space="0" w:color="auto"/>
              <w:right w:val="nil"/>
            </w:tcBorders>
            <w:shd w:val="clear" w:color="000000" w:fill="FFFFFF"/>
            <w:noWrap/>
            <w:vAlign w:val="center"/>
            <w:hideMark/>
          </w:tcPr>
          <w:p w14:paraId="77111B4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-4141664</w:t>
            </w:r>
          </w:p>
        </w:tc>
        <w:tc>
          <w:tcPr>
            <w:tcW w:w="1289" w:type="dxa"/>
            <w:tcBorders>
              <w:top w:val="nil"/>
              <w:left w:val="nil"/>
              <w:bottom w:val="single" w:sz="4" w:space="0" w:color="auto"/>
              <w:right w:val="nil"/>
            </w:tcBorders>
            <w:shd w:val="clear" w:color="000000" w:fill="FFFFFF"/>
            <w:noWrap/>
            <w:vAlign w:val="center"/>
            <w:hideMark/>
          </w:tcPr>
          <w:p w14:paraId="6650E37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-3596057</w:t>
            </w:r>
          </w:p>
        </w:tc>
      </w:tr>
    </w:tbl>
    <w:p w14:paraId="6A00F7F9" w14:textId="77777777" w:rsidR="005826E2" w:rsidRPr="005826E2" w:rsidRDefault="005826E2" w:rsidP="005826E2">
      <w:pPr>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p>
    <w:p w14:paraId="4235F2EF" w14:textId="77777777" w:rsidR="005826E2" w:rsidRPr="005826E2" w:rsidRDefault="005826E2" w:rsidP="005826E2">
      <w:pPr>
        <w:keepNext/>
        <w:keepLines/>
        <w:widowControl w:val="0"/>
        <w:tabs>
          <w:tab w:val="left" w:pos="288"/>
          <w:tab w:val="left" w:pos="576"/>
          <w:tab w:val="left" w:pos="864"/>
          <w:tab w:val="left" w:pos="1152"/>
          <w:tab w:val="left" w:pos="1440"/>
        </w:tabs>
        <w:spacing w:before="240" w:after="240" w:line="240" w:lineRule="auto"/>
        <w:rPr>
          <w:rFonts w:ascii="Times New Roman" w:hAnsi="Times New Roman"/>
          <w:iCs/>
          <w:color w:val="000000" w:themeColor="text1"/>
          <w:sz w:val="24"/>
          <w:szCs w:val="18"/>
        </w:rPr>
      </w:pPr>
      <w:bookmarkStart w:id="29" w:name="_Toc6834499"/>
      <w:r w:rsidRPr="005826E2">
        <w:rPr>
          <w:rFonts w:ascii="Times New Roman" w:hAnsi="Times New Roman"/>
          <w:iCs/>
          <w:color w:val="000000" w:themeColor="text1"/>
          <w:sz w:val="24"/>
          <w:szCs w:val="18"/>
        </w:rPr>
        <w:t xml:space="preserve">Table </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STYLEREF 1 \s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w:t>
      </w:r>
      <w:r w:rsidRPr="005826E2">
        <w:rPr>
          <w:rFonts w:ascii="Times New Roman" w:hAnsi="Times New Roman"/>
          <w:iCs/>
          <w:color w:val="000000" w:themeColor="text1"/>
          <w:sz w:val="24"/>
          <w:szCs w:val="18"/>
        </w:rPr>
        <w:fldChar w:fldCharType="begin"/>
      </w:r>
      <w:r w:rsidRPr="005826E2">
        <w:rPr>
          <w:rFonts w:ascii="Times New Roman" w:hAnsi="Times New Roman"/>
          <w:iCs/>
          <w:color w:val="000000" w:themeColor="text1"/>
          <w:sz w:val="24"/>
          <w:szCs w:val="18"/>
        </w:rPr>
        <w:instrText xml:space="preserve"> SEQ Table \* ARABIC \s 1 </w:instrText>
      </w:r>
      <w:r w:rsidRPr="005826E2">
        <w:rPr>
          <w:rFonts w:ascii="Times New Roman" w:hAnsi="Times New Roman"/>
          <w:iCs/>
          <w:color w:val="000000" w:themeColor="text1"/>
          <w:sz w:val="24"/>
          <w:szCs w:val="18"/>
        </w:rPr>
        <w:fldChar w:fldCharType="separate"/>
      </w:r>
      <w:r w:rsidRPr="005826E2">
        <w:rPr>
          <w:rFonts w:ascii="Times New Roman" w:hAnsi="Times New Roman"/>
          <w:iCs/>
          <w:noProof/>
          <w:color w:val="000000" w:themeColor="text1"/>
          <w:sz w:val="24"/>
          <w:szCs w:val="18"/>
        </w:rPr>
        <w:t>3</w:t>
      </w:r>
      <w:r w:rsidRPr="005826E2">
        <w:rPr>
          <w:rFonts w:ascii="Times New Roman" w:hAnsi="Times New Roman"/>
          <w:iCs/>
          <w:noProof/>
          <w:color w:val="000000" w:themeColor="text1"/>
          <w:sz w:val="24"/>
          <w:szCs w:val="18"/>
        </w:rPr>
        <w:fldChar w:fldCharType="end"/>
      </w:r>
      <w:r w:rsidRPr="005826E2">
        <w:rPr>
          <w:rFonts w:ascii="Times New Roman" w:hAnsi="Times New Roman"/>
          <w:iCs/>
          <w:color w:val="000000" w:themeColor="text1"/>
          <w:sz w:val="24"/>
          <w:szCs w:val="18"/>
        </w:rPr>
        <w:t xml:space="preserve"> Phosphorus contribution estimates from literature</w:t>
      </w:r>
      <w:bookmarkEnd w:id="29"/>
    </w:p>
    <w:tbl>
      <w:tblPr>
        <w:tblW w:w="8109" w:type="dxa"/>
        <w:tblLook w:val="04A0" w:firstRow="1" w:lastRow="0" w:firstColumn="1" w:lastColumn="0" w:noHBand="0" w:noVBand="1"/>
      </w:tblPr>
      <w:tblGrid>
        <w:gridCol w:w="2017"/>
        <w:gridCol w:w="2078"/>
        <w:gridCol w:w="2384"/>
        <w:gridCol w:w="1630"/>
      </w:tblGrid>
      <w:tr w:rsidR="005826E2" w:rsidRPr="005826E2" w14:paraId="5C009D56" w14:textId="77777777" w:rsidTr="00667577">
        <w:trPr>
          <w:trHeight w:val="322"/>
        </w:trPr>
        <w:tc>
          <w:tcPr>
            <w:tcW w:w="2017" w:type="dxa"/>
            <w:tcBorders>
              <w:top w:val="nil"/>
              <w:left w:val="nil"/>
              <w:bottom w:val="single" w:sz="4" w:space="0" w:color="auto"/>
              <w:right w:val="nil"/>
            </w:tcBorders>
            <w:shd w:val="clear" w:color="000000" w:fill="FFFFFF"/>
            <w:noWrap/>
            <w:vAlign w:val="center"/>
            <w:hideMark/>
          </w:tcPr>
          <w:p w14:paraId="2AB58EB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Author</w:t>
            </w:r>
          </w:p>
        </w:tc>
        <w:tc>
          <w:tcPr>
            <w:tcW w:w="2078" w:type="dxa"/>
            <w:tcBorders>
              <w:top w:val="nil"/>
              <w:left w:val="nil"/>
              <w:bottom w:val="single" w:sz="4" w:space="0" w:color="auto"/>
              <w:right w:val="nil"/>
            </w:tcBorders>
            <w:shd w:val="clear" w:color="000000" w:fill="FFFFFF"/>
            <w:noWrap/>
            <w:vAlign w:val="center"/>
            <w:hideMark/>
          </w:tcPr>
          <w:p w14:paraId="1231F9A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Channel length (km)</w:t>
            </w:r>
          </w:p>
        </w:tc>
        <w:tc>
          <w:tcPr>
            <w:tcW w:w="2384" w:type="dxa"/>
            <w:tcBorders>
              <w:top w:val="nil"/>
              <w:left w:val="nil"/>
              <w:bottom w:val="single" w:sz="4" w:space="0" w:color="auto"/>
              <w:right w:val="nil"/>
            </w:tcBorders>
            <w:shd w:val="clear" w:color="000000" w:fill="FFFFFF"/>
            <w:noWrap/>
            <w:vAlign w:val="center"/>
            <w:hideMark/>
          </w:tcPr>
          <w:p w14:paraId="22431AF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P load from banks (kg yr</w:t>
            </w:r>
            <w:r w:rsidRPr="005826E2">
              <w:rPr>
                <w:rFonts w:ascii="Times New Roman" w:eastAsia="Times New Roman" w:hAnsi="Times New Roman" w:cs="Times New Roman"/>
                <w:color w:val="000000"/>
                <w:sz w:val="20"/>
                <w:szCs w:val="20"/>
                <w:vertAlign w:val="superscript"/>
              </w:rPr>
              <w:t>−1</w:t>
            </w:r>
            <w:r w:rsidRPr="005826E2">
              <w:rPr>
                <w:rFonts w:ascii="Times New Roman" w:eastAsia="Times New Roman" w:hAnsi="Times New Roman" w:cs="Times New Roman"/>
                <w:color w:val="000000"/>
                <w:sz w:val="20"/>
                <w:szCs w:val="20"/>
              </w:rPr>
              <w:t>)</w:t>
            </w:r>
          </w:p>
        </w:tc>
        <w:tc>
          <w:tcPr>
            <w:tcW w:w="1630" w:type="dxa"/>
            <w:tcBorders>
              <w:top w:val="nil"/>
              <w:left w:val="nil"/>
              <w:bottom w:val="single" w:sz="4" w:space="0" w:color="auto"/>
              <w:right w:val="nil"/>
            </w:tcBorders>
            <w:shd w:val="clear" w:color="000000" w:fill="FFFFFF"/>
            <w:noWrap/>
            <w:vAlign w:val="center"/>
            <w:hideMark/>
          </w:tcPr>
          <w:p w14:paraId="036F32E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P load (kg m</w:t>
            </w:r>
            <w:r w:rsidRPr="005826E2">
              <w:rPr>
                <w:rFonts w:ascii="Times New Roman" w:eastAsia="Times New Roman" w:hAnsi="Times New Roman" w:cs="Times New Roman"/>
                <w:color w:val="000000"/>
                <w:sz w:val="20"/>
                <w:szCs w:val="20"/>
                <w:vertAlign w:val="superscript"/>
              </w:rPr>
              <w:t>-1</w:t>
            </w:r>
            <w:r w:rsidRPr="005826E2">
              <w:rPr>
                <w:rFonts w:ascii="Times New Roman" w:eastAsia="Times New Roman" w:hAnsi="Times New Roman" w:cs="Times New Roman"/>
                <w:color w:val="000000"/>
                <w:sz w:val="20"/>
                <w:szCs w:val="20"/>
              </w:rPr>
              <w:t xml:space="preserve"> yr</w:t>
            </w:r>
            <w:r w:rsidRPr="005826E2">
              <w:rPr>
                <w:rFonts w:ascii="Times New Roman" w:eastAsia="Times New Roman" w:hAnsi="Times New Roman" w:cs="Times New Roman"/>
                <w:color w:val="000000"/>
                <w:sz w:val="20"/>
                <w:szCs w:val="20"/>
                <w:vertAlign w:val="superscript"/>
              </w:rPr>
              <w:t>-1</w:t>
            </w:r>
            <w:r w:rsidRPr="005826E2">
              <w:rPr>
                <w:rFonts w:ascii="Times New Roman" w:eastAsia="Times New Roman" w:hAnsi="Times New Roman" w:cs="Times New Roman"/>
                <w:color w:val="000000"/>
                <w:sz w:val="20"/>
                <w:szCs w:val="20"/>
              </w:rPr>
              <w:t>)</w:t>
            </w:r>
          </w:p>
        </w:tc>
      </w:tr>
      <w:tr w:rsidR="005826E2" w:rsidRPr="005826E2" w14:paraId="0506C221" w14:textId="77777777" w:rsidTr="00667577">
        <w:trPr>
          <w:trHeight w:val="261"/>
        </w:trPr>
        <w:tc>
          <w:tcPr>
            <w:tcW w:w="2017" w:type="dxa"/>
            <w:tcBorders>
              <w:top w:val="nil"/>
              <w:left w:val="nil"/>
              <w:bottom w:val="nil"/>
              <w:right w:val="nil"/>
            </w:tcBorders>
            <w:shd w:val="clear" w:color="000000" w:fill="FFFFFF"/>
            <w:noWrap/>
            <w:vAlign w:val="center"/>
            <w:hideMark/>
          </w:tcPr>
          <w:p w14:paraId="1EA0C8C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Boynton et al. (1995)</w:t>
            </w:r>
          </w:p>
        </w:tc>
        <w:tc>
          <w:tcPr>
            <w:tcW w:w="2078" w:type="dxa"/>
            <w:tcBorders>
              <w:top w:val="nil"/>
              <w:left w:val="nil"/>
              <w:bottom w:val="nil"/>
              <w:right w:val="nil"/>
            </w:tcBorders>
            <w:shd w:val="clear" w:color="000000" w:fill="FFFFFF"/>
            <w:noWrap/>
            <w:vAlign w:val="center"/>
            <w:hideMark/>
          </w:tcPr>
          <w:p w14:paraId="194360A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11000</w:t>
            </w:r>
          </w:p>
        </w:tc>
        <w:tc>
          <w:tcPr>
            <w:tcW w:w="2384" w:type="dxa"/>
            <w:tcBorders>
              <w:top w:val="nil"/>
              <w:left w:val="nil"/>
              <w:bottom w:val="nil"/>
              <w:right w:val="nil"/>
            </w:tcBorders>
            <w:shd w:val="clear" w:color="000000" w:fill="FFFFFF"/>
            <w:noWrap/>
            <w:vAlign w:val="center"/>
            <w:hideMark/>
          </w:tcPr>
          <w:p w14:paraId="48DF786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430000</w:t>
            </w:r>
          </w:p>
        </w:tc>
        <w:tc>
          <w:tcPr>
            <w:tcW w:w="1630" w:type="dxa"/>
            <w:tcBorders>
              <w:top w:val="nil"/>
              <w:left w:val="nil"/>
              <w:bottom w:val="nil"/>
              <w:right w:val="nil"/>
            </w:tcBorders>
            <w:shd w:val="clear" w:color="000000" w:fill="FFFFFF"/>
            <w:noWrap/>
            <w:vAlign w:val="center"/>
            <w:hideMark/>
          </w:tcPr>
          <w:p w14:paraId="401BC94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0.039</w:t>
            </w:r>
          </w:p>
        </w:tc>
      </w:tr>
      <w:tr w:rsidR="005826E2" w:rsidRPr="005826E2" w14:paraId="5111AFEF" w14:textId="77777777" w:rsidTr="00667577">
        <w:trPr>
          <w:trHeight w:val="261"/>
        </w:trPr>
        <w:tc>
          <w:tcPr>
            <w:tcW w:w="2017" w:type="dxa"/>
            <w:tcBorders>
              <w:top w:val="nil"/>
              <w:left w:val="nil"/>
              <w:bottom w:val="nil"/>
              <w:right w:val="nil"/>
            </w:tcBorders>
            <w:shd w:val="clear" w:color="000000" w:fill="FFFFFF"/>
            <w:noWrap/>
            <w:vAlign w:val="center"/>
            <w:hideMark/>
          </w:tcPr>
          <w:p w14:paraId="6F522B13"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Kronvang</w:t>
            </w:r>
            <w:proofErr w:type="spellEnd"/>
            <w:r w:rsidRPr="005826E2">
              <w:rPr>
                <w:rFonts w:ascii="Times New Roman" w:eastAsia="Times New Roman" w:hAnsi="Times New Roman" w:cs="Times New Roman"/>
                <w:color w:val="000000"/>
                <w:sz w:val="20"/>
                <w:szCs w:val="20"/>
              </w:rPr>
              <w:t xml:space="preserve"> et al. (1997)</w:t>
            </w:r>
          </w:p>
        </w:tc>
        <w:tc>
          <w:tcPr>
            <w:tcW w:w="2078" w:type="dxa"/>
            <w:tcBorders>
              <w:top w:val="nil"/>
              <w:left w:val="nil"/>
              <w:bottom w:val="nil"/>
              <w:right w:val="nil"/>
            </w:tcBorders>
            <w:shd w:val="clear" w:color="000000" w:fill="FFFFFF"/>
            <w:noWrap/>
            <w:vAlign w:val="center"/>
            <w:hideMark/>
          </w:tcPr>
          <w:p w14:paraId="3E4B75DB"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Not Provided</w:t>
            </w:r>
          </w:p>
        </w:tc>
        <w:tc>
          <w:tcPr>
            <w:tcW w:w="2384" w:type="dxa"/>
            <w:tcBorders>
              <w:top w:val="nil"/>
              <w:left w:val="nil"/>
              <w:bottom w:val="nil"/>
              <w:right w:val="nil"/>
            </w:tcBorders>
            <w:shd w:val="clear" w:color="000000" w:fill="FFFFFF"/>
            <w:noWrap/>
            <w:vAlign w:val="center"/>
            <w:hideMark/>
          </w:tcPr>
          <w:p w14:paraId="6FF5396F"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100</w:t>
            </w:r>
          </w:p>
        </w:tc>
        <w:tc>
          <w:tcPr>
            <w:tcW w:w="1630" w:type="dxa"/>
            <w:tcBorders>
              <w:top w:val="nil"/>
              <w:left w:val="nil"/>
              <w:bottom w:val="nil"/>
              <w:right w:val="nil"/>
            </w:tcBorders>
            <w:shd w:val="clear" w:color="000000" w:fill="FFFFFF"/>
            <w:noWrap/>
            <w:vAlign w:val="center"/>
            <w:hideMark/>
          </w:tcPr>
          <w:p w14:paraId="2DA9403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r>
      <w:tr w:rsidR="005826E2" w:rsidRPr="005826E2" w14:paraId="3F67D465" w14:textId="77777777" w:rsidTr="00667577">
        <w:trPr>
          <w:trHeight w:val="261"/>
        </w:trPr>
        <w:tc>
          <w:tcPr>
            <w:tcW w:w="2017" w:type="dxa"/>
            <w:tcBorders>
              <w:top w:val="nil"/>
              <w:left w:val="nil"/>
              <w:bottom w:val="nil"/>
              <w:right w:val="nil"/>
            </w:tcBorders>
            <w:shd w:val="clear" w:color="000000" w:fill="FFFFFF"/>
            <w:noWrap/>
            <w:vAlign w:val="center"/>
            <w:hideMark/>
          </w:tcPr>
          <w:p w14:paraId="2E974CE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Sekely</w:t>
            </w:r>
            <w:proofErr w:type="spellEnd"/>
            <w:r w:rsidRPr="005826E2">
              <w:rPr>
                <w:rFonts w:ascii="Times New Roman" w:eastAsia="Times New Roman" w:hAnsi="Times New Roman" w:cs="Times New Roman"/>
                <w:color w:val="000000"/>
                <w:sz w:val="20"/>
                <w:szCs w:val="20"/>
              </w:rPr>
              <w:t xml:space="preserve"> et al. (2002)</w:t>
            </w:r>
          </w:p>
        </w:tc>
        <w:tc>
          <w:tcPr>
            <w:tcW w:w="2078" w:type="dxa"/>
            <w:tcBorders>
              <w:top w:val="nil"/>
              <w:left w:val="nil"/>
              <w:bottom w:val="nil"/>
              <w:right w:val="nil"/>
            </w:tcBorders>
            <w:shd w:val="clear" w:color="000000" w:fill="FFFFFF"/>
            <w:noWrap/>
            <w:vAlign w:val="center"/>
            <w:hideMark/>
          </w:tcPr>
          <w:p w14:paraId="7D6CFA2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170</w:t>
            </w:r>
          </w:p>
        </w:tc>
        <w:tc>
          <w:tcPr>
            <w:tcW w:w="2384" w:type="dxa"/>
            <w:tcBorders>
              <w:top w:val="nil"/>
              <w:left w:val="nil"/>
              <w:bottom w:val="nil"/>
              <w:right w:val="nil"/>
            </w:tcBorders>
            <w:shd w:val="clear" w:color="000000" w:fill="FFFFFF"/>
            <w:noWrap/>
            <w:vAlign w:val="center"/>
            <w:hideMark/>
          </w:tcPr>
          <w:p w14:paraId="58C67127"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3000</w:t>
            </w:r>
          </w:p>
        </w:tc>
        <w:tc>
          <w:tcPr>
            <w:tcW w:w="1630" w:type="dxa"/>
            <w:tcBorders>
              <w:top w:val="nil"/>
              <w:left w:val="nil"/>
              <w:bottom w:val="nil"/>
              <w:right w:val="nil"/>
            </w:tcBorders>
            <w:shd w:val="clear" w:color="000000" w:fill="FFFFFF"/>
            <w:noWrap/>
            <w:vAlign w:val="center"/>
            <w:hideMark/>
          </w:tcPr>
          <w:p w14:paraId="4FEFD915"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0.02</w:t>
            </w:r>
          </w:p>
        </w:tc>
      </w:tr>
      <w:tr w:rsidR="005826E2" w:rsidRPr="005826E2" w14:paraId="69AD8557" w14:textId="77777777" w:rsidTr="00667577">
        <w:trPr>
          <w:trHeight w:val="261"/>
        </w:trPr>
        <w:tc>
          <w:tcPr>
            <w:tcW w:w="2017" w:type="dxa"/>
            <w:tcBorders>
              <w:top w:val="nil"/>
              <w:left w:val="nil"/>
              <w:bottom w:val="nil"/>
              <w:right w:val="nil"/>
            </w:tcBorders>
            <w:shd w:val="clear" w:color="000000" w:fill="FFFFFF"/>
            <w:noWrap/>
            <w:vAlign w:val="center"/>
            <w:hideMark/>
          </w:tcPr>
          <w:p w14:paraId="0D4BF16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Thoma</w:t>
            </w:r>
            <w:proofErr w:type="spellEnd"/>
            <w:r w:rsidRPr="005826E2">
              <w:rPr>
                <w:rFonts w:ascii="Times New Roman" w:eastAsia="Times New Roman" w:hAnsi="Times New Roman" w:cs="Times New Roman"/>
                <w:color w:val="000000"/>
                <w:sz w:val="20"/>
                <w:szCs w:val="20"/>
              </w:rPr>
              <w:t xml:space="preserve"> et al. (2005)</w:t>
            </w:r>
          </w:p>
        </w:tc>
        <w:tc>
          <w:tcPr>
            <w:tcW w:w="2078" w:type="dxa"/>
            <w:tcBorders>
              <w:top w:val="nil"/>
              <w:left w:val="nil"/>
              <w:bottom w:val="nil"/>
              <w:right w:val="nil"/>
            </w:tcBorders>
            <w:shd w:val="clear" w:color="000000" w:fill="FFFFFF"/>
            <w:noWrap/>
            <w:vAlign w:val="center"/>
            <w:hideMark/>
          </w:tcPr>
          <w:p w14:paraId="35788D34"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56</w:t>
            </w:r>
          </w:p>
        </w:tc>
        <w:tc>
          <w:tcPr>
            <w:tcW w:w="2384" w:type="dxa"/>
            <w:tcBorders>
              <w:top w:val="nil"/>
              <w:left w:val="nil"/>
              <w:bottom w:val="nil"/>
              <w:right w:val="nil"/>
            </w:tcBorders>
            <w:shd w:val="clear" w:color="000000" w:fill="FFFFFF"/>
            <w:noWrap/>
            <w:vAlign w:val="center"/>
            <w:hideMark/>
          </w:tcPr>
          <w:p w14:paraId="6CCDD1B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200000</w:t>
            </w:r>
          </w:p>
        </w:tc>
        <w:tc>
          <w:tcPr>
            <w:tcW w:w="1630" w:type="dxa"/>
            <w:tcBorders>
              <w:top w:val="nil"/>
              <w:left w:val="nil"/>
              <w:bottom w:val="nil"/>
              <w:right w:val="nil"/>
            </w:tcBorders>
            <w:shd w:val="clear" w:color="000000" w:fill="FFFFFF"/>
            <w:noWrap/>
            <w:vAlign w:val="center"/>
            <w:hideMark/>
          </w:tcPr>
          <w:p w14:paraId="2EF4354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0.05</w:t>
            </w:r>
          </w:p>
        </w:tc>
      </w:tr>
      <w:tr w:rsidR="005826E2" w:rsidRPr="005826E2" w14:paraId="45C084DD" w14:textId="77777777" w:rsidTr="00667577">
        <w:trPr>
          <w:trHeight w:val="522"/>
        </w:trPr>
        <w:tc>
          <w:tcPr>
            <w:tcW w:w="2017" w:type="dxa"/>
            <w:tcBorders>
              <w:top w:val="nil"/>
              <w:left w:val="nil"/>
              <w:bottom w:val="nil"/>
              <w:right w:val="nil"/>
            </w:tcBorders>
            <w:shd w:val="clear" w:color="000000" w:fill="FFFFFF"/>
            <w:vAlign w:val="center"/>
            <w:hideMark/>
          </w:tcPr>
          <w:p w14:paraId="40E1478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Zaimes</w:t>
            </w:r>
            <w:proofErr w:type="spellEnd"/>
            <w:r w:rsidRPr="005826E2">
              <w:rPr>
                <w:rFonts w:ascii="Times New Roman" w:eastAsia="Times New Roman" w:hAnsi="Times New Roman" w:cs="Times New Roman"/>
                <w:color w:val="000000"/>
                <w:sz w:val="20"/>
                <w:szCs w:val="20"/>
              </w:rPr>
              <w:t xml:space="preserve"> et al 2008a </w:t>
            </w:r>
            <w:proofErr w:type="spellStart"/>
            <w:r w:rsidRPr="005826E2">
              <w:rPr>
                <w:rFonts w:ascii="Times New Roman" w:eastAsia="Times New Roman" w:hAnsi="Times New Roman" w:cs="Times New Roman"/>
                <w:color w:val="000000"/>
                <w:sz w:val="20"/>
                <w:szCs w:val="20"/>
              </w:rPr>
              <w:t>Zaimes</w:t>
            </w:r>
            <w:proofErr w:type="spellEnd"/>
            <w:r w:rsidRPr="005826E2">
              <w:rPr>
                <w:rFonts w:ascii="Times New Roman" w:eastAsia="Times New Roman" w:hAnsi="Times New Roman" w:cs="Times New Roman"/>
                <w:color w:val="000000"/>
                <w:sz w:val="20"/>
                <w:szCs w:val="20"/>
              </w:rPr>
              <w:t xml:space="preserve"> et al. 2008b</w:t>
            </w:r>
          </w:p>
        </w:tc>
        <w:tc>
          <w:tcPr>
            <w:tcW w:w="2078" w:type="dxa"/>
            <w:tcBorders>
              <w:top w:val="nil"/>
              <w:left w:val="nil"/>
              <w:bottom w:val="nil"/>
              <w:right w:val="nil"/>
            </w:tcBorders>
            <w:shd w:val="clear" w:color="000000" w:fill="FFFFFF"/>
            <w:noWrap/>
            <w:vAlign w:val="center"/>
            <w:hideMark/>
          </w:tcPr>
          <w:p w14:paraId="1D82CA1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Various</w:t>
            </w:r>
          </w:p>
        </w:tc>
        <w:tc>
          <w:tcPr>
            <w:tcW w:w="2384" w:type="dxa"/>
            <w:tcBorders>
              <w:top w:val="nil"/>
              <w:left w:val="nil"/>
              <w:bottom w:val="nil"/>
              <w:right w:val="nil"/>
            </w:tcBorders>
            <w:shd w:val="clear" w:color="000000" w:fill="FFFFFF"/>
            <w:noWrap/>
            <w:vAlign w:val="center"/>
            <w:hideMark/>
          </w:tcPr>
          <w:p w14:paraId="3D905E8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20</w:t>
            </w:r>
          </w:p>
        </w:tc>
        <w:tc>
          <w:tcPr>
            <w:tcW w:w="1630" w:type="dxa"/>
            <w:tcBorders>
              <w:top w:val="nil"/>
              <w:left w:val="nil"/>
              <w:bottom w:val="nil"/>
              <w:right w:val="nil"/>
            </w:tcBorders>
            <w:shd w:val="clear" w:color="000000" w:fill="FFFFFF"/>
            <w:noWrap/>
            <w:vAlign w:val="center"/>
            <w:hideMark/>
          </w:tcPr>
          <w:p w14:paraId="6686358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r>
      <w:tr w:rsidR="005826E2" w:rsidRPr="005826E2" w14:paraId="438F4DB8" w14:textId="77777777" w:rsidTr="00667577">
        <w:trPr>
          <w:trHeight w:val="261"/>
        </w:trPr>
        <w:tc>
          <w:tcPr>
            <w:tcW w:w="2017" w:type="dxa"/>
            <w:tcBorders>
              <w:top w:val="nil"/>
              <w:left w:val="nil"/>
              <w:bottom w:val="nil"/>
              <w:right w:val="nil"/>
            </w:tcBorders>
            <w:shd w:val="clear" w:color="000000" w:fill="FFFFFF"/>
            <w:noWrap/>
            <w:vAlign w:val="center"/>
            <w:hideMark/>
          </w:tcPr>
          <w:p w14:paraId="05B5DFB1"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Kronvang</w:t>
            </w:r>
            <w:proofErr w:type="spellEnd"/>
            <w:r w:rsidRPr="005826E2">
              <w:rPr>
                <w:rFonts w:ascii="Times New Roman" w:eastAsia="Times New Roman" w:hAnsi="Times New Roman" w:cs="Times New Roman"/>
                <w:color w:val="000000"/>
                <w:sz w:val="20"/>
                <w:szCs w:val="20"/>
              </w:rPr>
              <w:t xml:space="preserve"> et al. (2012)</w:t>
            </w:r>
          </w:p>
        </w:tc>
        <w:tc>
          <w:tcPr>
            <w:tcW w:w="2078" w:type="dxa"/>
            <w:tcBorders>
              <w:top w:val="nil"/>
              <w:left w:val="nil"/>
              <w:bottom w:val="nil"/>
              <w:right w:val="nil"/>
            </w:tcBorders>
            <w:shd w:val="clear" w:color="000000" w:fill="FFFFFF"/>
            <w:noWrap/>
            <w:vAlign w:val="center"/>
            <w:hideMark/>
          </w:tcPr>
          <w:p w14:paraId="2D532EC4"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60</w:t>
            </w:r>
          </w:p>
        </w:tc>
        <w:tc>
          <w:tcPr>
            <w:tcW w:w="2384" w:type="dxa"/>
            <w:tcBorders>
              <w:top w:val="nil"/>
              <w:left w:val="nil"/>
              <w:bottom w:val="nil"/>
              <w:right w:val="nil"/>
            </w:tcBorders>
            <w:shd w:val="clear" w:color="000000" w:fill="FFFFFF"/>
            <w:noWrap/>
            <w:vAlign w:val="center"/>
            <w:hideMark/>
          </w:tcPr>
          <w:p w14:paraId="6B35E825"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4600</w:t>
            </w:r>
          </w:p>
        </w:tc>
        <w:tc>
          <w:tcPr>
            <w:tcW w:w="1630" w:type="dxa"/>
            <w:tcBorders>
              <w:top w:val="nil"/>
              <w:left w:val="nil"/>
              <w:bottom w:val="nil"/>
              <w:right w:val="nil"/>
            </w:tcBorders>
            <w:shd w:val="clear" w:color="000000" w:fill="FFFFFF"/>
            <w:noWrap/>
            <w:vAlign w:val="center"/>
            <w:hideMark/>
          </w:tcPr>
          <w:p w14:paraId="0E17D69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0.08</w:t>
            </w:r>
          </w:p>
        </w:tc>
      </w:tr>
      <w:tr w:rsidR="005826E2" w:rsidRPr="005826E2" w14:paraId="1811F917" w14:textId="77777777" w:rsidTr="00667577">
        <w:trPr>
          <w:trHeight w:val="261"/>
        </w:trPr>
        <w:tc>
          <w:tcPr>
            <w:tcW w:w="2017" w:type="dxa"/>
            <w:tcBorders>
              <w:top w:val="nil"/>
              <w:left w:val="nil"/>
              <w:bottom w:val="nil"/>
              <w:right w:val="nil"/>
            </w:tcBorders>
            <w:shd w:val="clear" w:color="000000" w:fill="FFFFFF"/>
            <w:noWrap/>
            <w:vAlign w:val="center"/>
            <w:hideMark/>
          </w:tcPr>
          <w:p w14:paraId="6BA56BE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Miller et al. (2014)</w:t>
            </w:r>
          </w:p>
        </w:tc>
        <w:tc>
          <w:tcPr>
            <w:tcW w:w="2078" w:type="dxa"/>
            <w:tcBorders>
              <w:top w:val="nil"/>
              <w:left w:val="nil"/>
              <w:bottom w:val="nil"/>
              <w:right w:val="nil"/>
            </w:tcBorders>
            <w:shd w:val="clear" w:color="000000" w:fill="FFFFFF"/>
            <w:noWrap/>
            <w:vAlign w:val="center"/>
            <w:hideMark/>
          </w:tcPr>
          <w:p w14:paraId="44295183"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56</w:t>
            </w:r>
          </w:p>
        </w:tc>
        <w:tc>
          <w:tcPr>
            <w:tcW w:w="2384" w:type="dxa"/>
            <w:tcBorders>
              <w:top w:val="nil"/>
              <w:left w:val="nil"/>
              <w:bottom w:val="nil"/>
              <w:right w:val="nil"/>
            </w:tcBorders>
            <w:shd w:val="clear" w:color="000000" w:fill="FFFFFF"/>
            <w:noWrap/>
            <w:vAlign w:val="center"/>
            <w:hideMark/>
          </w:tcPr>
          <w:p w14:paraId="0028EB4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90000</w:t>
            </w:r>
          </w:p>
        </w:tc>
        <w:tc>
          <w:tcPr>
            <w:tcW w:w="1630" w:type="dxa"/>
            <w:tcBorders>
              <w:top w:val="nil"/>
              <w:left w:val="nil"/>
              <w:bottom w:val="nil"/>
              <w:right w:val="nil"/>
            </w:tcBorders>
            <w:shd w:val="clear" w:color="000000" w:fill="FFFFFF"/>
            <w:noWrap/>
            <w:vAlign w:val="center"/>
            <w:hideMark/>
          </w:tcPr>
          <w:p w14:paraId="3CD6D0B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1.6</w:t>
            </w:r>
          </w:p>
        </w:tc>
      </w:tr>
      <w:tr w:rsidR="005826E2" w:rsidRPr="005826E2" w14:paraId="6EFA625A" w14:textId="77777777" w:rsidTr="00667577">
        <w:trPr>
          <w:trHeight w:val="261"/>
        </w:trPr>
        <w:tc>
          <w:tcPr>
            <w:tcW w:w="2017" w:type="dxa"/>
            <w:tcBorders>
              <w:top w:val="nil"/>
              <w:left w:val="nil"/>
              <w:bottom w:val="nil"/>
              <w:right w:val="nil"/>
            </w:tcBorders>
            <w:shd w:val="clear" w:color="000000" w:fill="FFFFFF"/>
            <w:noWrap/>
            <w:vAlign w:val="center"/>
            <w:hideMark/>
          </w:tcPr>
          <w:p w14:paraId="048DABD8"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Purvis et al. (2016)</w:t>
            </w:r>
          </w:p>
        </w:tc>
        <w:tc>
          <w:tcPr>
            <w:tcW w:w="2078" w:type="dxa"/>
            <w:tcBorders>
              <w:top w:val="nil"/>
              <w:left w:val="nil"/>
              <w:bottom w:val="nil"/>
              <w:right w:val="nil"/>
            </w:tcBorders>
            <w:shd w:val="clear" w:color="000000" w:fill="FFFFFF"/>
            <w:noWrap/>
            <w:vAlign w:val="center"/>
            <w:hideMark/>
          </w:tcPr>
          <w:p w14:paraId="4A0631B2"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32</w:t>
            </w:r>
          </w:p>
        </w:tc>
        <w:tc>
          <w:tcPr>
            <w:tcW w:w="2384" w:type="dxa"/>
            <w:tcBorders>
              <w:top w:val="nil"/>
              <w:left w:val="nil"/>
              <w:bottom w:val="nil"/>
              <w:right w:val="nil"/>
            </w:tcBorders>
            <w:shd w:val="clear" w:color="000000" w:fill="FFFFFF"/>
            <w:noWrap/>
            <w:vAlign w:val="center"/>
            <w:hideMark/>
          </w:tcPr>
          <w:p w14:paraId="6AAD444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10000</w:t>
            </w:r>
          </w:p>
        </w:tc>
        <w:tc>
          <w:tcPr>
            <w:tcW w:w="1630" w:type="dxa"/>
            <w:tcBorders>
              <w:top w:val="nil"/>
              <w:left w:val="nil"/>
              <w:bottom w:val="nil"/>
              <w:right w:val="nil"/>
            </w:tcBorders>
            <w:shd w:val="clear" w:color="000000" w:fill="FFFFFF"/>
            <w:noWrap/>
            <w:vAlign w:val="center"/>
            <w:hideMark/>
          </w:tcPr>
          <w:p w14:paraId="1421C7CB"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0.31</w:t>
            </w:r>
          </w:p>
        </w:tc>
      </w:tr>
      <w:tr w:rsidR="005826E2" w:rsidRPr="005826E2" w14:paraId="7E4B06CD" w14:textId="77777777" w:rsidTr="00667577">
        <w:trPr>
          <w:trHeight w:val="261"/>
        </w:trPr>
        <w:tc>
          <w:tcPr>
            <w:tcW w:w="2017" w:type="dxa"/>
            <w:tcBorders>
              <w:top w:val="nil"/>
              <w:left w:val="nil"/>
              <w:bottom w:val="nil"/>
              <w:right w:val="nil"/>
            </w:tcBorders>
            <w:shd w:val="clear" w:color="000000" w:fill="FFFFFF"/>
            <w:noWrap/>
            <w:vAlign w:val="center"/>
            <w:hideMark/>
          </w:tcPr>
          <w:p w14:paraId="169C0BF6"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proofErr w:type="spellStart"/>
            <w:r w:rsidRPr="005826E2">
              <w:rPr>
                <w:rFonts w:ascii="Times New Roman" w:eastAsia="Times New Roman" w:hAnsi="Times New Roman" w:cs="Times New Roman"/>
                <w:color w:val="000000"/>
                <w:sz w:val="20"/>
                <w:szCs w:val="20"/>
              </w:rPr>
              <w:t>Ishee</w:t>
            </w:r>
            <w:proofErr w:type="spellEnd"/>
            <w:r w:rsidRPr="005826E2">
              <w:rPr>
                <w:rFonts w:ascii="Times New Roman" w:eastAsia="Times New Roman" w:hAnsi="Times New Roman" w:cs="Times New Roman"/>
                <w:color w:val="000000"/>
                <w:sz w:val="20"/>
                <w:szCs w:val="20"/>
              </w:rPr>
              <w:t xml:space="preserve"> et al. (2015)</w:t>
            </w:r>
          </w:p>
        </w:tc>
        <w:tc>
          <w:tcPr>
            <w:tcW w:w="2078" w:type="dxa"/>
            <w:tcBorders>
              <w:top w:val="nil"/>
              <w:left w:val="nil"/>
              <w:bottom w:val="nil"/>
              <w:right w:val="nil"/>
            </w:tcBorders>
            <w:shd w:val="clear" w:color="000000" w:fill="FFFFFF"/>
            <w:noWrap/>
            <w:vAlign w:val="center"/>
            <w:hideMark/>
          </w:tcPr>
          <w:p w14:paraId="7B839A2E"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Various</w:t>
            </w:r>
          </w:p>
        </w:tc>
        <w:tc>
          <w:tcPr>
            <w:tcW w:w="2384" w:type="dxa"/>
            <w:tcBorders>
              <w:top w:val="nil"/>
              <w:left w:val="nil"/>
              <w:bottom w:val="nil"/>
              <w:right w:val="nil"/>
            </w:tcBorders>
            <w:shd w:val="clear" w:color="000000" w:fill="FFFFFF"/>
            <w:noWrap/>
            <w:vAlign w:val="center"/>
            <w:hideMark/>
          </w:tcPr>
          <w:p w14:paraId="02BED14C"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200</w:t>
            </w:r>
          </w:p>
        </w:tc>
        <w:tc>
          <w:tcPr>
            <w:tcW w:w="1630" w:type="dxa"/>
            <w:tcBorders>
              <w:top w:val="nil"/>
              <w:left w:val="nil"/>
              <w:bottom w:val="nil"/>
              <w:right w:val="nil"/>
            </w:tcBorders>
            <w:shd w:val="clear" w:color="000000" w:fill="FFFFFF"/>
            <w:noWrap/>
            <w:vAlign w:val="center"/>
            <w:hideMark/>
          </w:tcPr>
          <w:p w14:paraId="6D700A60"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 </w:t>
            </w:r>
          </w:p>
        </w:tc>
      </w:tr>
      <w:tr w:rsidR="005826E2" w:rsidRPr="005826E2" w14:paraId="6621C939" w14:textId="77777777" w:rsidTr="00667577">
        <w:trPr>
          <w:trHeight w:val="261"/>
        </w:trPr>
        <w:tc>
          <w:tcPr>
            <w:tcW w:w="2017" w:type="dxa"/>
            <w:tcBorders>
              <w:top w:val="nil"/>
              <w:left w:val="nil"/>
              <w:bottom w:val="nil"/>
              <w:right w:val="nil"/>
            </w:tcBorders>
            <w:shd w:val="clear" w:color="000000" w:fill="FFFFFF"/>
            <w:noWrap/>
            <w:vAlign w:val="center"/>
            <w:hideMark/>
          </w:tcPr>
          <w:p w14:paraId="1F50D60B"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Chapter 3</w:t>
            </w:r>
          </w:p>
        </w:tc>
        <w:tc>
          <w:tcPr>
            <w:tcW w:w="2078" w:type="dxa"/>
            <w:tcBorders>
              <w:top w:val="nil"/>
              <w:left w:val="nil"/>
              <w:bottom w:val="nil"/>
              <w:right w:val="nil"/>
            </w:tcBorders>
            <w:shd w:val="clear" w:color="000000" w:fill="FFFFFF"/>
            <w:noWrap/>
            <w:vAlign w:val="center"/>
            <w:hideMark/>
          </w:tcPr>
          <w:p w14:paraId="7B30294D"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2317</w:t>
            </w:r>
          </w:p>
        </w:tc>
        <w:tc>
          <w:tcPr>
            <w:tcW w:w="2384" w:type="dxa"/>
            <w:tcBorders>
              <w:top w:val="nil"/>
              <w:left w:val="nil"/>
              <w:bottom w:val="nil"/>
              <w:right w:val="nil"/>
            </w:tcBorders>
            <w:shd w:val="clear" w:color="000000" w:fill="FFFFFF"/>
            <w:noWrap/>
            <w:vAlign w:val="center"/>
            <w:hideMark/>
          </w:tcPr>
          <w:p w14:paraId="01AD6FD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628827</w:t>
            </w:r>
          </w:p>
        </w:tc>
        <w:tc>
          <w:tcPr>
            <w:tcW w:w="1630" w:type="dxa"/>
            <w:tcBorders>
              <w:top w:val="nil"/>
              <w:left w:val="nil"/>
              <w:bottom w:val="nil"/>
              <w:right w:val="nil"/>
            </w:tcBorders>
            <w:shd w:val="clear" w:color="000000" w:fill="FFFFFF"/>
            <w:noWrap/>
            <w:vAlign w:val="center"/>
            <w:hideMark/>
          </w:tcPr>
          <w:p w14:paraId="75A8C1DA" w14:textId="77777777" w:rsidR="005826E2" w:rsidRPr="005826E2" w:rsidRDefault="005826E2" w:rsidP="005826E2">
            <w:pPr>
              <w:spacing w:after="0" w:line="240" w:lineRule="auto"/>
              <w:jc w:val="center"/>
              <w:rPr>
                <w:rFonts w:ascii="Times New Roman" w:eastAsia="Times New Roman" w:hAnsi="Times New Roman" w:cs="Times New Roman"/>
                <w:color w:val="000000"/>
                <w:sz w:val="20"/>
                <w:szCs w:val="20"/>
              </w:rPr>
            </w:pPr>
            <w:r w:rsidRPr="005826E2">
              <w:rPr>
                <w:rFonts w:ascii="Times New Roman" w:eastAsia="Times New Roman" w:hAnsi="Times New Roman" w:cs="Times New Roman"/>
                <w:color w:val="000000"/>
                <w:sz w:val="20"/>
                <w:szCs w:val="20"/>
              </w:rPr>
              <w:t>0.27</w:t>
            </w:r>
          </w:p>
        </w:tc>
      </w:tr>
    </w:tbl>
    <w:p w14:paraId="39317862" w14:textId="77777777" w:rsidR="005826E2" w:rsidRPr="005826E2" w:rsidRDefault="005826E2" w:rsidP="005826E2">
      <w:pPr>
        <w:spacing w:after="0" w:line="480" w:lineRule="auto"/>
        <w:rPr>
          <w:rFonts w:ascii="Times New Roman" w:hAnsi="Times New Roman"/>
          <w:color w:val="000000" w:themeColor="text1"/>
          <w:sz w:val="24"/>
        </w:rPr>
      </w:pPr>
    </w:p>
    <w:p w14:paraId="2529009F" w14:textId="5E5B2D21" w:rsidR="005826E2" w:rsidRDefault="005826E2" w:rsidP="005826E2">
      <w:pPr>
        <w:keepNext/>
        <w:keepLines/>
        <w:widowControl w:val="0"/>
        <w:spacing w:after="240" w:line="240" w:lineRule="auto"/>
        <w:jc w:val="center"/>
        <w:outlineLvl w:val="1"/>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lastRenderedPageBreak/>
        <w:t>References</w:t>
      </w:r>
    </w:p>
    <w:p w14:paraId="63A23A53" w14:textId="21EA335B"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5826E2">
        <w:rPr>
          <w:rFonts w:ascii="Calibri" w:hAnsi="Calibri" w:cs="Calibri"/>
          <w:noProof/>
          <w:szCs w:val="24"/>
        </w:rPr>
        <w:t xml:space="preserve">Beck, W., Isenhart, T., Moore, P., Schilling, K., Schultz, R., &amp; Tomer, M. (2018). Streambank alluvial unit contributions to suspended sediment and total phosphorus loads, walnut Creek, Iowa, USA. </w:t>
      </w:r>
      <w:r w:rsidRPr="005826E2">
        <w:rPr>
          <w:rFonts w:ascii="Calibri" w:hAnsi="Calibri" w:cs="Calibri"/>
          <w:i/>
          <w:iCs/>
          <w:noProof/>
          <w:szCs w:val="24"/>
        </w:rPr>
        <w:t>Water (Switzerland)</w:t>
      </w:r>
      <w:r w:rsidRPr="005826E2">
        <w:rPr>
          <w:rFonts w:ascii="Calibri" w:hAnsi="Calibri" w:cs="Calibri"/>
          <w:noProof/>
          <w:szCs w:val="24"/>
        </w:rPr>
        <w:t xml:space="preserve">, </w:t>
      </w:r>
      <w:r w:rsidRPr="005826E2">
        <w:rPr>
          <w:rFonts w:ascii="Calibri" w:hAnsi="Calibri" w:cs="Calibri"/>
          <w:i/>
          <w:iCs/>
          <w:noProof/>
          <w:szCs w:val="24"/>
        </w:rPr>
        <w:t>10</w:t>
      </w:r>
      <w:r w:rsidRPr="005826E2">
        <w:rPr>
          <w:rFonts w:ascii="Calibri" w:hAnsi="Calibri" w:cs="Calibri"/>
          <w:noProof/>
          <w:szCs w:val="24"/>
        </w:rPr>
        <w:t>(2). https://doi.org/10.3390/w10020111</w:t>
      </w:r>
    </w:p>
    <w:p w14:paraId="61A47611"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Belmont, P., Gran, K. B., Schottler, S. P., Wilcock, P. R., Day, S. S., Jennings, C., … Parker, G. (2011). Large shift in source of fine sediment in the upper Mississippi River. </w:t>
      </w:r>
      <w:r w:rsidRPr="005826E2">
        <w:rPr>
          <w:rFonts w:ascii="Calibri" w:hAnsi="Calibri" w:cs="Calibri"/>
          <w:i/>
          <w:iCs/>
          <w:noProof/>
          <w:szCs w:val="24"/>
        </w:rPr>
        <w:t>Environmental Science and Technology</w:t>
      </w:r>
      <w:r w:rsidRPr="005826E2">
        <w:rPr>
          <w:rFonts w:ascii="Calibri" w:hAnsi="Calibri" w:cs="Calibri"/>
          <w:noProof/>
          <w:szCs w:val="24"/>
        </w:rPr>
        <w:t xml:space="preserve">, </w:t>
      </w:r>
      <w:r w:rsidRPr="005826E2">
        <w:rPr>
          <w:rFonts w:ascii="Calibri" w:hAnsi="Calibri" w:cs="Calibri"/>
          <w:i/>
          <w:iCs/>
          <w:noProof/>
          <w:szCs w:val="24"/>
        </w:rPr>
        <w:t>45</w:t>
      </w:r>
      <w:r w:rsidRPr="005826E2">
        <w:rPr>
          <w:rFonts w:ascii="Calibri" w:hAnsi="Calibri" w:cs="Calibri"/>
          <w:noProof/>
          <w:szCs w:val="24"/>
        </w:rPr>
        <w:t>(20), 8804–8810. https://doi.org/10.1021/es2019109</w:t>
      </w:r>
    </w:p>
    <w:p w14:paraId="7D5243F0"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Bettis, E. A. I. (1990). </w:t>
      </w:r>
      <w:r w:rsidRPr="005826E2">
        <w:rPr>
          <w:rFonts w:ascii="Calibri" w:hAnsi="Calibri" w:cs="Calibri"/>
          <w:i/>
          <w:iCs/>
          <w:noProof/>
          <w:szCs w:val="24"/>
        </w:rPr>
        <w:t>Holocene Alluvial Stratigraphy and Selected Aspects of the Quaternary History of Western Iowa</w:t>
      </w:r>
      <w:r w:rsidRPr="005826E2">
        <w:rPr>
          <w:rFonts w:ascii="Calibri" w:hAnsi="Calibri" w:cs="Calibri"/>
          <w:noProof/>
          <w:szCs w:val="24"/>
        </w:rPr>
        <w:t>.</w:t>
      </w:r>
    </w:p>
    <w:p w14:paraId="58053F41"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Bettis III, E. A. (1990). Holocene Alluvial Stratigraphy and Selected Aspects of the Quaternary History of Western Iowa: Guidebook for the 37th Field Conference of the Midwest Friends of the Pleistocene. In </w:t>
      </w:r>
      <w:r w:rsidRPr="005826E2">
        <w:rPr>
          <w:rFonts w:ascii="Calibri" w:hAnsi="Calibri" w:cs="Calibri"/>
          <w:i/>
          <w:iCs/>
          <w:noProof/>
          <w:szCs w:val="24"/>
        </w:rPr>
        <w:t>Iowa Department of Natural Resources, Geological Survey Bureau, Iowa City, IA</w:t>
      </w:r>
      <w:r w:rsidRPr="005826E2">
        <w:rPr>
          <w:rFonts w:ascii="Calibri" w:hAnsi="Calibri" w:cs="Calibri"/>
          <w:noProof/>
          <w:szCs w:val="24"/>
        </w:rPr>
        <w:t>. Retrieved from http://publications.iowa.gov/25601/</w:t>
      </w:r>
    </w:p>
    <w:p w14:paraId="5C587E33"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Bosch, D. D., Kuhnle, R. A., Steiner, J. L., Wilson, G. V., Starks, P. J., Tomer, M. D., &amp; Wilson, C. G. (2008). Quantifying relative contributions from sediment sources in Conservation Effects Assessment Project watersheds. </w:t>
      </w:r>
      <w:r w:rsidRPr="005826E2">
        <w:rPr>
          <w:rFonts w:ascii="Calibri" w:hAnsi="Calibri" w:cs="Calibri"/>
          <w:i/>
          <w:iCs/>
          <w:noProof/>
          <w:szCs w:val="24"/>
        </w:rPr>
        <w:t>Journal of Soil and Water Conservation</w:t>
      </w:r>
      <w:r w:rsidRPr="005826E2">
        <w:rPr>
          <w:rFonts w:ascii="Calibri" w:hAnsi="Calibri" w:cs="Calibri"/>
          <w:noProof/>
          <w:szCs w:val="24"/>
        </w:rPr>
        <w:t xml:space="preserve">, </w:t>
      </w:r>
      <w:r w:rsidRPr="005826E2">
        <w:rPr>
          <w:rFonts w:ascii="Calibri" w:hAnsi="Calibri" w:cs="Calibri"/>
          <w:i/>
          <w:iCs/>
          <w:noProof/>
          <w:szCs w:val="24"/>
        </w:rPr>
        <w:t>63</w:t>
      </w:r>
      <w:r w:rsidRPr="005826E2">
        <w:rPr>
          <w:rFonts w:ascii="Calibri" w:hAnsi="Calibri" w:cs="Calibri"/>
          <w:noProof/>
          <w:szCs w:val="24"/>
        </w:rPr>
        <w:t>(6), 523–532. https://doi.org/10.2489/jswc.63.6.523</w:t>
      </w:r>
    </w:p>
    <w:p w14:paraId="49EE3F59"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Boynton, W. R., Garber, J. H., Summers, R., &amp; Kemp, W. M. (1995). Inputs, Transformations, and Transport of Nitrogen and Phosphorus in Chesapeake Bay and Selected Tributaries. </w:t>
      </w:r>
      <w:r w:rsidRPr="005826E2">
        <w:rPr>
          <w:rFonts w:ascii="Calibri" w:hAnsi="Calibri" w:cs="Calibri"/>
          <w:i/>
          <w:iCs/>
          <w:noProof/>
          <w:szCs w:val="24"/>
        </w:rPr>
        <w:t>Estuaries</w:t>
      </w:r>
      <w:r w:rsidRPr="005826E2">
        <w:rPr>
          <w:rFonts w:ascii="Calibri" w:hAnsi="Calibri" w:cs="Calibri"/>
          <w:noProof/>
          <w:szCs w:val="24"/>
        </w:rPr>
        <w:t xml:space="preserve">, </w:t>
      </w:r>
      <w:r w:rsidRPr="005826E2">
        <w:rPr>
          <w:rFonts w:ascii="Calibri" w:hAnsi="Calibri" w:cs="Calibri"/>
          <w:i/>
          <w:iCs/>
          <w:noProof/>
          <w:szCs w:val="24"/>
        </w:rPr>
        <w:t>18</w:t>
      </w:r>
      <w:r w:rsidRPr="005826E2">
        <w:rPr>
          <w:rFonts w:ascii="Calibri" w:hAnsi="Calibri" w:cs="Calibri"/>
          <w:noProof/>
          <w:szCs w:val="24"/>
        </w:rPr>
        <w:t>(1), 285. https://doi.org/10.2307/1352640</w:t>
      </w:r>
    </w:p>
    <w:p w14:paraId="5401047C"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Carpenter, S. R., Smith, V. H., Correll, D. L., Caraco, N. F., Howarth, R. W., &amp; Sharpley, A. N. (2006). Nonpoint Pollution of Surface Waters with Phosphorus and Nitrogen. </w:t>
      </w:r>
      <w:r w:rsidRPr="005826E2">
        <w:rPr>
          <w:rFonts w:ascii="Calibri" w:hAnsi="Calibri" w:cs="Calibri"/>
          <w:i/>
          <w:iCs/>
          <w:noProof/>
          <w:szCs w:val="24"/>
        </w:rPr>
        <w:t>Ecological Applications</w:t>
      </w:r>
      <w:r w:rsidRPr="005826E2">
        <w:rPr>
          <w:rFonts w:ascii="Calibri" w:hAnsi="Calibri" w:cs="Calibri"/>
          <w:noProof/>
          <w:szCs w:val="24"/>
        </w:rPr>
        <w:t xml:space="preserve">, </w:t>
      </w:r>
      <w:r w:rsidRPr="005826E2">
        <w:rPr>
          <w:rFonts w:ascii="Calibri" w:hAnsi="Calibri" w:cs="Calibri"/>
          <w:i/>
          <w:iCs/>
          <w:noProof/>
          <w:szCs w:val="24"/>
        </w:rPr>
        <w:t>8</w:t>
      </w:r>
      <w:r w:rsidRPr="005826E2">
        <w:rPr>
          <w:rFonts w:ascii="Calibri" w:hAnsi="Calibri" w:cs="Calibri"/>
          <w:noProof/>
          <w:szCs w:val="24"/>
        </w:rPr>
        <w:t>(3), 559. https://doi.org/10.2307/2641247</w:t>
      </w:r>
    </w:p>
    <w:p w14:paraId="4615EA01"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Conley, Daniel, J., Paerl, H. W., Howart, Robert, W., Boesch, Donald, F., Seitzinger, Sybil, P., Havens, Karl, E., &amp; Lancelot, Christiane, Likens, Gene, E. (2009). Controlling Eutrophication: Nitrogen and Phosphorus. </w:t>
      </w:r>
      <w:r w:rsidRPr="005826E2">
        <w:rPr>
          <w:rFonts w:ascii="Calibri" w:hAnsi="Calibri" w:cs="Calibri"/>
          <w:i/>
          <w:iCs/>
          <w:noProof/>
          <w:szCs w:val="24"/>
        </w:rPr>
        <w:t>Science</w:t>
      </w:r>
      <w:r w:rsidRPr="005826E2">
        <w:rPr>
          <w:rFonts w:ascii="Calibri" w:hAnsi="Calibri" w:cs="Calibri"/>
          <w:noProof/>
          <w:szCs w:val="24"/>
        </w:rPr>
        <w:t xml:space="preserve">, </w:t>
      </w:r>
      <w:r w:rsidRPr="005826E2">
        <w:rPr>
          <w:rFonts w:ascii="Calibri" w:hAnsi="Calibri" w:cs="Calibri"/>
          <w:i/>
          <w:iCs/>
          <w:noProof/>
          <w:szCs w:val="24"/>
        </w:rPr>
        <w:t>323</w:t>
      </w:r>
      <w:r w:rsidRPr="005826E2">
        <w:rPr>
          <w:rFonts w:ascii="Calibri" w:hAnsi="Calibri" w:cs="Calibri"/>
          <w:noProof/>
          <w:szCs w:val="24"/>
        </w:rPr>
        <w:t>, 1014–1015. https://doi.org/10.1126/science.1167755</w:t>
      </w:r>
    </w:p>
    <w:p w14:paraId="51BF03DA"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Correll, D. L. (1998). (1998) Role of Phosphorus in the Eutrophication of Receiving Waters: A Review, The. </w:t>
      </w:r>
      <w:r w:rsidRPr="005826E2">
        <w:rPr>
          <w:rFonts w:ascii="Calibri" w:hAnsi="Calibri" w:cs="Calibri"/>
          <w:i/>
          <w:iCs/>
          <w:noProof/>
          <w:szCs w:val="24"/>
        </w:rPr>
        <w:t>Journal of Environment Quality</w:t>
      </w:r>
      <w:r w:rsidRPr="005826E2">
        <w:rPr>
          <w:rFonts w:ascii="Calibri" w:hAnsi="Calibri" w:cs="Calibri"/>
          <w:noProof/>
          <w:szCs w:val="24"/>
        </w:rPr>
        <w:t xml:space="preserve">, </w:t>
      </w:r>
      <w:r w:rsidRPr="005826E2">
        <w:rPr>
          <w:rFonts w:ascii="Calibri" w:hAnsi="Calibri" w:cs="Calibri"/>
          <w:i/>
          <w:iCs/>
          <w:noProof/>
          <w:szCs w:val="24"/>
        </w:rPr>
        <w:t>27</w:t>
      </w:r>
      <w:r w:rsidRPr="005826E2">
        <w:rPr>
          <w:rFonts w:ascii="Calibri" w:hAnsi="Calibri" w:cs="Calibri"/>
          <w:noProof/>
          <w:szCs w:val="24"/>
        </w:rPr>
        <w:t>(2), 261–266. https://doi.org/10.2134/jeq1998.00472425002700020004x</w:t>
      </w:r>
    </w:p>
    <w:p w14:paraId="280393B8"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Dodds, W., &amp; Smith, V. (2016). Nitrogen, phosphorus, and eutrophication in streams. </w:t>
      </w:r>
      <w:r w:rsidRPr="005826E2">
        <w:rPr>
          <w:rFonts w:ascii="Calibri" w:hAnsi="Calibri" w:cs="Calibri"/>
          <w:i/>
          <w:iCs/>
          <w:noProof/>
          <w:szCs w:val="24"/>
        </w:rPr>
        <w:t>Inland Waters</w:t>
      </w:r>
      <w:r w:rsidRPr="005826E2">
        <w:rPr>
          <w:rFonts w:ascii="Calibri" w:hAnsi="Calibri" w:cs="Calibri"/>
          <w:noProof/>
          <w:szCs w:val="24"/>
        </w:rPr>
        <w:t xml:space="preserve">, </w:t>
      </w:r>
      <w:r w:rsidRPr="005826E2">
        <w:rPr>
          <w:rFonts w:ascii="Calibri" w:hAnsi="Calibri" w:cs="Calibri"/>
          <w:i/>
          <w:iCs/>
          <w:noProof/>
          <w:szCs w:val="24"/>
        </w:rPr>
        <w:t>6</w:t>
      </w:r>
      <w:r w:rsidRPr="005826E2">
        <w:rPr>
          <w:rFonts w:ascii="Calibri" w:hAnsi="Calibri" w:cs="Calibri"/>
          <w:noProof/>
          <w:szCs w:val="24"/>
        </w:rPr>
        <w:t>(2), 155–164. https://doi.org/10.5268/IW-6.2.909</w:t>
      </w:r>
    </w:p>
    <w:p w14:paraId="2C46C54C"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Flight, L., &amp; Julious, S. A. (2015). The disagreeable behaviour of the kappa statistic. </w:t>
      </w:r>
      <w:r w:rsidRPr="005826E2">
        <w:rPr>
          <w:rFonts w:ascii="Calibri" w:hAnsi="Calibri" w:cs="Calibri"/>
          <w:i/>
          <w:iCs/>
          <w:noProof/>
          <w:szCs w:val="24"/>
        </w:rPr>
        <w:t>Pharmaceutical Statistics</w:t>
      </w:r>
      <w:r w:rsidRPr="005826E2">
        <w:rPr>
          <w:rFonts w:ascii="Calibri" w:hAnsi="Calibri" w:cs="Calibri"/>
          <w:noProof/>
          <w:szCs w:val="24"/>
        </w:rPr>
        <w:t xml:space="preserve">, </w:t>
      </w:r>
      <w:r w:rsidRPr="005826E2">
        <w:rPr>
          <w:rFonts w:ascii="Calibri" w:hAnsi="Calibri" w:cs="Calibri"/>
          <w:i/>
          <w:iCs/>
          <w:noProof/>
          <w:szCs w:val="24"/>
        </w:rPr>
        <w:t>14</w:t>
      </w:r>
      <w:r w:rsidRPr="005826E2">
        <w:rPr>
          <w:rFonts w:ascii="Calibri" w:hAnsi="Calibri" w:cs="Calibri"/>
          <w:noProof/>
          <w:szCs w:val="24"/>
        </w:rPr>
        <w:t>(1), 74–78. https://doi.org/10.1002/pst.1659</w:t>
      </w:r>
    </w:p>
    <w:p w14:paraId="320BCB14"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Fox, G. A., Purvis, R. A., &amp; Penn, C. J. (2016a). Streambanks: A net source of sediment and phosphorus to streams and rivers. </w:t>
      </w:r>
      <w:r w:rsidRPr="005826E2">
        <w:rPr>
          <w:rFonts w:ascii="Calibri" w:hAnsi="Calibri" w:cs="Calibri"/>
          <w:i/>
          <w:iCs/>
          <w:noProof/>
          <w:szCs w:val="24"/>
        </w:rPr>
        <w:t>Journal of Environmental Management</w:t>
      </w:r>
      <w:r w:rsidRPr="005826E2">
        <w:rPr>
          <w:rFonts w:ascii="Calibri" w:hAnsi="Calibri" w:cs="Calibri"/>
          <w:noProof/>
          <w:szCs w:val="24"/>
        </w:rPr>
        <w:t xml:space="preserve">, </w:t>
      </w:r>
      <w:r w:rsidRPr="005826E2">
        <w:rPr>
          <w:rFonts w:ascii="Calibri" w:hAnsi="Calibri" w:cs="Calibri"/>
          <w:i/>
          <w:iCs/>
          <w:noProof/>
          <w:szCs w:val="24"/>
        </w:rPr>
        <w:t>181</w:t>
      </w:r>
      <w:r w:rsidRPr="005826E2">
        <w:rPr>
          <w:rFonts w:ascii="Calibri" w:hAnsi="Calibri" w:cs="Calibri"/>
          <w:noProof/>
          <w:szCs w:val="24"/>
        </w:rPr>
        <w:t>, 602–614. https://doi.org/10.1016/j.jenvman.2016.06.071</w:t>
      </w:r>
    </w:p>
    <w:p w14:paraId="097A8946"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Fox, G. A., Purvis, R. A., &amp; Penn, C. J. (2016b, October 1). Streambanks: A net source of sediment and phosphorus to streams and rivers. </w:t>
      </w:r>
      <w:r w:rsidRPr="005826E2">
        <w:rPr>
          <w:rFonts w:ascii="Calibri" w:hAnsi="Calibri" w:cs="Calibri"/>
          <w:i/>
          <w:iCs/>
          <w:noProof/>
          <w:szCs w:val="24"/>
        </w:rPr>
        <w:t>Journal of Environmental Management</w:t>
      </w:r>
      <w:r w:rsidRPr="005826E2">
        <w:rPr>
          <w:rFonts w:ascii="Calibri" w:hAnsi="Calibri" w:cs="Calibri"/>
          <w:noProof/>
          <w:szCs w:val="24"/>
        </w:rPr>
        <w:t>, Vol. 181, pp. 602–614. https://doi.org/10.1016/j.jenvman.2016.06.071</w:t>
      </w:r>
    </w:p>
    <w:p w14:paraId="3CF0EF16"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lastRenderedPageBreak/>
        <w:t xml:space="preserve">Gray, S. M., Bieber, F. M. E., Mcdonnell,  laura H., Chapman,  lauren J., &amp; Mandrak, N. E. (2014). Experimental evidence for species-specific response to turbidity in imperilled fishes. </w:t>
      </w:r>
      <w:r w:rsidRPr="005826E2">
        <w:rPr>
          <w:rFonts w:ascii="Calibri" w:hAnsi="Calibri" w:cs="Calibri"/>
          <w:i/>
          <w:iCs/>
          <w:noProof/>
          <w:szCs w:val="24"/>
        </w:rPr>
        <w:t>Aquatic Conservation: Marine and Freshwater Ecosystems</w:t>
      </w:r>
      <w:r w:rsidRPr="005826E2">
        <w:rPr>
          <w:rFonts w:ascii="Calibri" w:hAnsi="Calibri" w:cs="Calibri"/>
          <w:noProof/>
          <w:szCs w:val="24"/>
        </w:rPr>
        <w:t xml:space="preserve">, </w:t>
      </w:r>
      <w:r w:rsidRPr="005826E2">
        <w:rPr>
          <w:rFonts w:ascii="Calibri" w:hAnsi="Calibri" w:cs="Calibri"/>
          <w:i/>
          <w:iCs/>
          <w:noProof/>
          <w:szCs w:val="24"/>
        </w:rPr>
        <w:t>24</w:t>
      </w:r>
      <w:r w:rsidRPr="005826E2">
        <w:rPr>
          <w:rFonts w:ascii="Calibri" w:hAnsi="Calibri" w:cs="Calibri"/>
          <w:noProof/>
          <w:szCs w:val="24"/>
        </w:rPr>
        <w:t>(4), 546–560. https://doi.org/10.1002/aqc.2436</w:t>
      </w:r>
    </w:p>
    <w:p w14:paraId="021102BA"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J. M. Hamlett, J. L. Baker, &amp; H. P. Johnson. (2013). Channel Morphology Changes and Sediment Yield for a Small Agricultural Watershed in Iowa. </w:t>
      </w:r>
      <w:r w:rsidRPr="005826E2">
        <w:rPr>
          <w:rFonts w:ascii="Calibri" w:hAnsi="Calibri" w:cs="Calibri"/>
          <w:i/>
          <w:iCs/>
          <w:noProof/>
          <w:szCs w:val="24"/>
        </w:rPr>
        <w:t>Transactions of the ASAE</w:t>
      </w:r>
      <w:r w:rsidRPr="005826E2">
        <w:rPr>
          <w:rFonts w:ascii="Calibri" w:hAnsi="Calibri" w:cs="Calibri"/>
          <w:noProof/>
          <w:szCs w:val="24"/>
        </w:rPr>
        <w:t xml:space="preserve">, </w:t>
      </w:r>
      <w:r w:rsidRPr="005826E2">
        <w:rPr>
          <w:rFonts w:ascii="Calibri" w:hAnsi="Calibri" w:cs="Calibri"/>
          <w:i/>
          <w:iCs/>
          <w:noProof/>
          <w:szCs w:val="24"/>
        </w:rPr>
        <w:t>26</w:t>
      </w:r>
      <w:r w:rsidRPr="005826E2">
        <w:rPr>
          <w:rFonts w:ascii="Calibri" w:hAnsi="Calibri" w:cs="Calibri"/>
          <w:noProof/>
          <w:szCs w:val="24"/>
        </w:rPr>
        <w:t>(5), 1390–1396. https://doi.org/10.13031/2013.34138</w:t>
      </w:r>
    </w:p>
    <w:p w14:paraId="61A243FA"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Kronvang, B., Audet, J., Baattrup-Pedersen, A., Jensen, H. S., &amp; Larsen, S. E. (2012). Phosphorus load to surface water from bank erosion in a Danish lowland river basin. </w:t>
      </w:r>
      <w:r w:rsidRPr="005826E2">
        <w:rPr>
          <w:rFonts w:ascii="Calibri" w:hAnsi="Calibri" w:cs="Calibri"/>
          <w:i/>
          <w:iCs/>
          <w:noProof/>
          <w:szCs w:val="24"/>
        </w:rPr>
        <w:t>Journal of Environmental Quality</w:t>
      </w:r>
      <w:r w:rsidRPr="005826E2">
        <w:rPr>
          <w:rFonts w:ascii="Calibri" w:hAnsi="Calibri" w:cs="Calibri"/>
          <w:noProof/>
          <w:szCs w:val="24"/>
        </w:rPr>
        <w:t xml:space="preserve">, </w:t>
      </w:r>
      <w:r w:rsidRPr="005826E2">
        <w:rPr>
          <w:rFonts w:ascii="Calibri" w:hAnsi="Calibri" w:cs="Calibri"/>
          <w:i/>
          <w:iCs/>
          <w:noProof/>
          <w:szCs w:val="24"/>
        </w:rPr>
        <w:t>41</w:t>
      </w:r>
      <w:r w:rsidRPr="005826E2">
        <w:rPr>
          <w:rFonts w:ascii="Calibri" w:hAnsi="Calibri" w:cs="Calibri"/>
          <w:noProof/>
          <w:szCs w:val="24"/>
        </w:rPr>
        <w:t>(2), 304–313. https://doi.org/10.2134/jeq2010.0434</w:t>
      </w:r>
    </w:p>
    <w:p w14:paraId="2916C6AF"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McGrath, S. P., &amp; Cunliffe, C. H. (1985). A simplified method for the extraction of the metals Fe, Zn, Cu, Ni, Cd, Pb, Cr, Co and Mn from soils and sewage sludges. </w:t>
      </w:r>
      <w:r w:rsidRPr="005826E2">
        <w:rPr>
          <w:rFonts w:ascii="Calibri" w:hAnsi="Calibri" w:cs="Calibri"/>
          <w:i/>
          <w:iCs/>
          <w:noProof/>
          <w:szCs w:val="24"/>
        </w:rPr>
        <w:t>Journal of the Science of Food and Agriculture</w:t>
      </w:r>
      <w:r w:rsidRPr="005826E2">
        <w:rPr>
          <w:rFonts w:ascii="Calibri" w:hAnsi="Calibri" w:cs="Calibri"/>
          <w:noProof/>
          <w:szCs w:val="24"/>
        </w:rPr>
        <w:t xml:space="preserve">, </w:t>
      </w:r>
      <w:r w:rsidRPr="005826E2">
        <w:rPr>
          <w:rFonts w:ascii="Calibri" w:hAnsi="Calibri" w:cs="Calibri"/>
          <w:i/>
          <w:iCs/>
          <w:noProof/>
          <w:szCs w:val="24"/>
        </w:rPr>
        <w:t>36</w:t>
      </w:r>
      <w:r w:rsidRPr="005826E2">
        <w:rPr>
          <w:rFonts w:ascii="Calibri" w:hAnsi="Calibri" w:cs="Calibri"/>
          <w:noProof/>
          <w:szCs w:val="24"/>
        </w:rPr>
        <w:t>(9), 794–798. https://doi.org/10.1002/jsfa.2740360906</w:t>
      </w:r>
    </w:p>
    <w:p w14:paraId="69D0F187"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Miller, B. A., &amp; Schaetzl, R. J. (2011). </w:t>
      </w:r>
      <w:r w:rsidRPr="005826E2">
        <w:rPr>
          <w:rFonts w:ascii="Calibri" w:hAnsi="Calibri" w:cs="Calibri"/>
          <w:i/>
          <w:iCs/>
          <w:noProof/>
          <w:szCs w:val="24"/>
        </w:rPr>
        <w:t>Precision of Soil Particle Size Analysis using Laser Diffractometry</w:t>
      </w:r>
      <w:r w:rsidRPr="005826E2">
        <w:rPr>
          <w:rFonts w:ascii="Calibri" w:hAnsi="Calibri" w:cs="Calibri"/>
          <w:noProof/>
          <w:szCs w:val="24"/>
        </w:rPr>
        <w:t>. https://doi.org/10.2136/sssaj2011.0303</w:t>
      </w:r>
    </w:p>
    <w:p w14:paraId="0FCEAC9A"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Miller, R. B., Fox, G. A., Penn, C. J., Wilson, S., Parnell, A., Purvis, R. A., &amp; Criswell, K. (2014). Estimating sediment and phosphorus loads from streambanks with and without riparian protection. </w:t>
      </w:r>
      <w:r w:rsidRPr="005826E2">
        <w:rPr>
          <w:rFonts w:ascii="Calibri" w:hAnsi="Calibri" w:cs="Calibri"/>
          <w:i/>
          <w:iCs/>
          <w:noProof/>
          <w:szCs w:val="24"/>
        </w:rPr>
        <w:t>Agriculture, Ecosystems &amp; Environment</w:t>
      </w:r>
      <w:r w:rsidRPr="005826E2">
        <w:rPr>
          <w:rFonts w:ascii="Calibri" w:hAnsi="Calibri" w:cs="Calibri"/>
          <w:noProof/>
          <w:szCs w:val="24"/>
        </w:rPr>
        <w:t xml:space="preserve">, </w:t>
      </w:r>
      <w:r w:rsidRPr="005826E2">
        <w:rPr>
          <w:rFonts w:ascii="Calibri" w:hAnsi="Calibri" w:cs="Calibri"/>
          <w:i/>
          <w:iCs/>
          <w:noProof/>
          <w:szCs w:val="24"/>
        </w:rPr>
        <w:t>189</w:t>
      </w:r>
      <w:r w:rsidRPr="005826E2">
        <w:rPr>
          <w:rFonts w:ascii="Calibri" w:hAnsi="Calibri" w:cs="Calibri"/>
          <w:noProof/>
          <w:szCs w:val="24"/>
        </w:rPr>
        <w:t>, 70–81. https://doi.org/10.1016/J.AGEE.2014.03.016</w:t>
      </w:r>
    </w:p>
    <w:p w14:paraId="06C03A49"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Monegaglia, F., Zolezzi, G., Güneralp, I., Henshaw, A. J., &amp; Tubino, M. (2018). Automated extraction of meandering river morphodynamics from multitemporal remotely sensed data. </w:t>
      </w:r>
      <w:r w:rsidRPr="005826E2">
        <w:rPr>
          <w:rFonts w:ascii="Calibri" w:hAnsi="Calibri" w:cs="Calibri"/>
          <w:i/>
          <w:iCs/>
          <w:noProof/>
          <w:szCs w:val="24"/>
        </w:rPr>
        <w:t>Environmental Modelling and Software</w:t>
      </w:r>
      <w:r w:rsidRPr="005826E2">
        <w:rPr>
          <w:rFonts w:ascii="Calibri" w:hAnsi="Calibri" w:cs="Calibri"/>
          <w:noProof/>
          <w:szCs w:val="24"/>
        </w:rPr>
        <w:t xml:space="preserve">, </w:t>
      </w:r>
      <w:r w:rsidRPr="005826E2">
        <w:rPr>
          <w:rFonts w:ascii="Calibri" w:hAnsi="Calibri" w:cs="Calibri"/>
          <w:i/>
          <w:iCs/>
          <w:noProof/>
          <w:szCs w:val="24"/>
        </w:rPr>
        <w:t>105</w:t>
      </w:r>
      <w:r w:rsidRPr="005826E2">
        <w:rPr>
          <w:rFonts w:ascii="Calibri" w:hAnsi="Calibri" w:cs="Calibri"/>
          <w:noProof/>
          <w:szCs w:val="24"/>
        </w:rPr>
        <w:t>, 171–186. https://doi.org/10.1016/j.envsoft.2018.03.028</w:t>
      </w:r>
    </w:p>
    <w:p w14:paraId="1788A7B0"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Mukundan, R., Radcliffe, D. E., Ritchie, J. C., Risse, L. M., &amp; McKinley, R. a. (1999). Sediment fingerprinting to determine the source of suspended sediment in a southern Piedmont stream. </w:t>
      </w:r>
      <w:r w:rsidRPr="005826E2">
        <w:rPr>
          <w:rFonts w:ascii="Calibri" w:hAnsi="Calibri" w:cs="Calibri"/>
          <w:i/>
          <w:iCs/>
          <w:noProof/>
          <w:szCs w:val="24"/>
        </w:rPr>
        <w:t>Journal of Environmental Quality</w:t>
      </w:r>
      <w:r w:rsidRPr="005826E2">
        <w:rPr>
          <w:rFonts w:ascii="Calibri" w:hAnsi="Calibri" w:cs="Calibri"/>
          <w:noProof/>
          <w:szCs w:val="24"/>
        </w:rPr>
        <w:t xml:space="preserve">, </w:t>
      </w:r>
      <w:r w:rsidRPr="005826E2">
        <w:rPr>
          <w:rFonts w:ascii="Calibri" w:hAnsi="Calibri" w:cs="Calibri"/>
          <w:i/>
          <w:iCs/>
          <w:noProof/>
          <w:szCs w:val="24"/>
        </w:rPr>
        <w:t>39</w:t>
      </w:r>
      <w:r w:rsidRPr="005826E2">
        <w:rPr>
          <w:rFonts w:ascii="Calibri" w:hAnsi="Calibri" w:cs="Calibri"/>
          <w:noProof/>
          <w:szCs w:val="24"/>
        </w:rPr>
        <w:t>(4), 1328–1337. https://doi.org/10.2134/jeq2009.0405</w:t>
      </w:r>
    </w:p>
    <w:p w14:paraId="7095C202"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Odgaard, A. J. (1987). Streambank erosion along two rivers in Iowa. </w:t>
      </w:r>
      <w:r w:rsidRPr="005826E2">
        <w:rPr>
          <w:rFonts w:ascii="Calibri" w:hAnsi="Calibri" w:cs="Calibri"/>
          <w:i/>
          <w:iCs/>
          <w:noProof/>
          <w:szCs w:val="24"/>
        </w:rPr>
        <w:t>Water Resources Research</w:t>
      </w:r>
      <w:r w:rsidRPr="005826E2">
        <w:rPr>
          <w:rFonts w:ascii="Calibri" w:hAnsi="Calibri" w:cs="Calibri"/>
          <w:noProof/>
          <w:szCs w:val="24"/>
        </w:rPr>
        <w:t xml:space="preserve">, </w:t>
      </w:r>
      <w:r w:rsidRPr="005826E2">
        <w:rPr>
          <w:rFonts w:ascii="Calibri" w:hAnsi="Calibri" w:cs="Calibri"/>
          <w:i/>
          <w:iCs/>
          <w:noProof/>
          <w:szCs w:val="24"/>
        </w:rPr>
        <w:t>23</w:t>
      </w:r>
      <w:r w:rsidRPr="005826E2">
        <w:rPr>
          <w:rFonts w:ascii="Calibri" w:hAnsi="Calibri" w:cs="Calibri"/>
          <w:noProof/>
          <w:szCs w:val="24"/>
        </w:rPr>
        <w:t>(7), 1225–1236. https://doi.org/10.1029/WR023i007p01225</w:t>
      </w:r>
    </w:p>
    <w:p w14:paraId="3C40B3F9"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Purvis, R. A., &amp; Fox, G. A. (2016). Streambank sediment loading rates at the watershed scale and the benefit of riparian protection. </w:t>
      </w:r>
      <w:r w:rsidRPr="005826E2">
        <w:rPr>
          <w:rFonts w:ascii="Calibri" w:hAnsi="Calibri" w:cs="Calibri"/>
          <w:i/>
          <w:iCs/>
          <w:noProof/>
          <w:szCs w:val="24"/>
        </w:rPr>
        <w:t>Earth Surface Processes and Landforms</w:t>
      </w:r>
      <w:r w:rsidRPr="005826E2">
        <w:rPr>
          <w:rFonts w:ascii="Calibri" w:hAnsi="Calibri" w:cs="Calibri"/>
          <w:noProof/>
          <w:szCs w:val="24"/>
        </w:rPr>
        <w:t xml:space="preserve">, </w:t>
      </w:r>
      <w:r w:rsidRPr="005826E2">
        <w:rPr>
          <w:rFonts w:ascii="Calibri" w:hAnsi="Calibri" w:cs="Calibri"/>
          <w:i/>
          <w:iCs/>
          <w:noProof/>
          <w:szCs w:val="24"/>
        </w:rPr>
        <w:t>41</w:t>
      </w:r>
      <w:r w:rsidRPr="005826E2">
        <w:rPr>
          <w:rFonts w:ascii="Calibri" w:hAnsi="Calibri" w:cs="Calibri"/>
          <w:noProof/>
          <w:szCs w:val="24"/>
        </w:rPr>
        <w:t>(10), 1327–1336. https://doi.org/10.1002/esp.3901</w:t>
      </w:r>
    </w:p>
    <w:p w14:paraId="19452B01"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Quist, M. C., &amp; Schultz, R. D. (2014). Effects of management legacies on stream fish and aquatic benthic macroinvertebrate assemblages. </w:t>
      </w:r>
      <w:r w:rsidRPr="005826E2">
        <w:rPr>
          <w:rFonts w:ascii="Calibri" w:hAnsi="Calibri" w:cs="Calibri"/>
          <w:i/>
          <w:iCs/>
          <w:noProof/>
          <w:szCs w:val="24"/>
        </w:rPr>
        <w:t>Environmental Management</w:t>
      </w:r>
      <w:r w:rsidRPr="005826E2">
        <w:rPr>
          <w:rFonts w:ascii="Calibri" w:hAnsi="Calibri" w:cs="Calibri"/>
          <w:noProof/>
          <w:szCs w:val="24"/>
        </w:rPr>
        <w:t xml:space="preserve">, </w:t>
      </w:r>
      <w:r w:rsidRPr="005826E2">
        <w:rPr>
          <w:rFonts w:ascii="Calibri" w:hAnsi="Calibri" w:cs="Calibri"/>
          <w:i/>
          <w:iCs/>
          <w:noProof/>
          <w:szCs w:val="24"/>
        </w:rPr>
        <w:t>54</w:t>
      </w:r>
      <w:r w:rsidRPr="005826E2">
        <w:rPr>
          <w:rFonts w:ascii="Calibri" w:hAnsi="Calibri" w:cs="Calibri"/>
          <w:noProof/>
          <w:szCs w:val="24"/>
        </w:rPr>
        <w:t>(3), 449–464. https://doi.org/10.1007/s00267-014-0309-8</w:t>
      </w:r>
    </w:p>
    <w:p w14:paraId="0D8F8D26"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Rowland, J. C., Shelef, E., Pope, P. A., Muss, J., Gangodagamage, C., Brumby, S. P., &amp; Wilson, C. J. (2016). A morphology independent methodology for quantifying planview river change and characteristics from remotely sensed imagery. </w:t>
      </w:r>
      <w:r w:rsidRPr="005826E2">
        <w:rPr>
          <w:rFonts w:ascii="Calibri" w:hAnsi="Calibri" w:cs="Calibri"/>
          <w:i/>
          <w:iCs/>
          <w:noProof/>
          <w:szCs w:val="24"/>
        </w:rPr>
        <w:t>Remote Sensing of Environment</w:t>
      </w:r>
      <w:r w:rsidRPr="005826E2">
        <w:rPr>
          <w:rFonts w:ascii="Calibri" w:hAnsi="Calibri" w:cs="Calibri"/>
          <w:noProof/>
          <w:szCs w:val="24"/>
        </w:rPr>
        <w:t xml:space="preserve">, </w:t>
      </w:r>
      <w:r w:rsidRPr="005826E2">
        <w:rPr>
          <w:rFonts w:ascii="Calibri" w:hAnsi="Calibri" w:cs="Calibri"/>
          <w:i/>
          <w:iCs/>
          <w:noProof/>
          <w:szCs w:val="24"/>
        </w:rPr>
        <w:t>184</w:t>
      </w:r>
      <w:r w:rsidRPr="005826E2">
        <w:rPr>
          <w:rFonts w:ascii="Calibri" w:hAnsi="Calibri" w:cs="Calibri"/>
          <w:noProof/>
          <w:szCs w:val="24"/>
        </w:rPr>
        <w:t>, 212–228. https://doi.org/10.1016/j.rse.2016.07.005</w:t>
      </w:r>
    </w:p>
    <w:p w14:paraId="57269EBB"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Schottler, S. P., Ulrich, J., Belmont, P., Moore, R., Lauer, J. W., Engstrom, D. R., &amp; Almendinger, J. E. (2014). Twentieth century agricultural drainage creates more erosive rivers. </w:t>
      </w:r>
      <w:r w:rsidRPr="005826E2">
        <w:rPr>
          <w:rFonts w:ascii="Calibri" w:hAnsi="Calibri" w:cs="Calibri"/>
          <w:i/>
          <w:iCs/>
          <w:noProof/>
          <w:szCs w:val="24"/>
        </w:rPr>
        <w:t>Hydrological Processes</w:t>
      </w:r>
      <w:r w:rsidRPr="005826E2">
        <w:rPr>
          <w:rFonts w:ascii="Calibri" w:hAnsi="Calibri" w:cs="Calibri"/>
          <w:noProof/>
          <w:szCs w:val="24"/>
        </w:rPr>
        <w:t xml:space="preserve">, </w:t>
      </w:r>
      <w:r w:rsidRPr="005826E2">
        <w:rPr>
          <w:rFonts w:ascii="Calibri" w:hAnsi="Calibri" w:cs="Calibri"/>
          <w:i/>
          <w:iCs/>
          <w:noProof/>
          <w:szCs w:val="24"/>
        </w:rPr>
        <w:t>28</w:t>
      </w:r>
      <w:r w:rsidRPr="005826E2">
        <w:rPr>
          <w:rFonts w:ascii="Calibri" w:hAnsi="Calibri" w:cs="Calibri"/>
          <w:noProof/>
          <w:szCs w:val="24"/>
        </w:rPr>
        <w:t>(4), 1951–1961. https://doi.org/10.1002/hyp.9738</w:t>
      </w:r>
    </w:p>
    <w:p w14:paraId="7FA4410C"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Sekely, A. C., Mulla, D. J., &amp; Bauer, D. W. (2002). Streambank slumping and its contribution to the </w:t>
      </w:r>
      <w:r w:rsidRPr="005826E2">
        <w:rPr>
          <w:rFonts w:ascii="Calibri" w:hAnsi="Calibri" w:cs="Calibri"/>
          <w:noProof/>
          <w:szCs w:val="24"/>
        </w:rPr>
        <w:lastRenderedPageBreak/>
        <w:t xml:space="preserve">phosphorus and suspended sediment loads of the Blue Earth River, Minnesota. </w:t>
      </w:r>
      <w:r w:rsidRPr="005826E2">
        <w:rPr>
          <w:rFonts w:ascii="Calibri" w:hAnsi="Calibri" w:cs="Calibri"/>
          <w:i/>
          <w:iCs/>
          <w:noProof/>
          <w:szCs w:val="24"/>
        </w:rPr>
        <w:t>Journal of Soil and Water Conservation</w:t>
      </w:r>
      <w:r w:rsidRPr="005826E2">
        <w:rPr>
          <w:rFonts w:ascii="Calibri" w:hAnsi="Calibri" w:cs="Calibri"/>
          <w:noProof/>
          <w:szCs w:val="24"/>
        </w:rPr>
        <w:t xml:space="preserve">, </w:t>
      </w:r>
      <w:r w:rsidRPr="005826E2">
        <w:rPr>
          <w:rFonts w:ascii="Calibri" w:hAnsi="Calibri" w:cs="Calibri"/>
          <w:i/>
          <w:iCs/>
          <w:noProof/>
          <w:szCs w:val="24"/>
        </w:rPr>
        <w:t>57</w:t>
      </w:r>
      <w:r w:rsidRPr="005826E2">
        <w:rPr>
          <w:rFonts w:ascii="Calibri" w:hAnsi="Calibri" w:cs="Calibri"/>
          <w:noProof/>
          <w:szCs w:val="24"/>
        </w:rPr>
        <w:t>(October), 243–250.</w:t>
      </w:r>
    </w:p>
    <w:p w14:paraId="5B6076BF"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Simon, A, &amp; Klimetz, L. (2008). Relative magnitudes and sources of sediment in benchmark watersheds of the Conservation Effects Assessment Project. </w:t>
      </w:r>
      <w:r w:rsidRPr="005826E2">
        <w:rPr>
          <w:rFonts w:ascii="Calibri" w:hAnsi="Calibri" w:cs="Calibri"/>
          <w:i/>
          <w:iCs/>
          <w:noProof/>
          <w:szCs w:val="24"/>
        </w:rPr>
        <w:t>Journal of Soil and Water Conservation</w:t>
      </w:r>
      <w:r w:rsidRPr="005826E2">
        <w:rPr>
          <w:rFonts w:ascii="Calibri" w:hAnsi="Calibri" w:cs="Calibri"/>
          <w:noProof/>
          <w:szCs w:val="24"/>
        </w:rPr>
        <w:t xml:space="preserve">, </w:t>
      </w:r>
      <w:r w:rsidRPr="005826E2">
        <w:rPr>
          <w:rFonts w:ascii="Calibri" w:hAnsi="Calibri" w:cs="Calibri"/>
          <w:i/>
          <w:iCs/>
          <w:noProof/>
          <w:szCs w:val="24"/>
        </w:rPr>
        <w:t>63</w:t>
      </w:r>
      <w:r w:rsidRPr="005826E2">
        <w:rPr>
          <w:rFonts w:ascii="Calibri" w:hAnsi="Calibri" w:cs="Calibri"/>
          <w:noProof/>
          <w:szCs w:val="24"/>
        </w:rPr>
        <w:t>(6), 504–522. https://doi.org/10.2489/jswc.63.6.504</w:t>
      </w:r>
    </w:p>
    <w:p w14:paraId="1EB8744D"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Simon, Andrew, &amp; Rinaldi, M. (2006). Disturbance, stream incision, and channel evolution: The roles of excess transport capacity and boundary materials in controlling channel response. </w:t>
      </w:r>
      <w:r w:rsidRPr="005826E2">
        <w:rPr>
          <w:rFonts w:ascii="Calibri" w:hAnsi="Calibri" w:cs="Calibri"/>
          <w:i/>
          <w:iCs/>
          <w:noProof/>
          <w:szCs w:val="24"/>
        </w:rPr>
        <w:t>Geomorphology</w:t>
      </w:r>
      <w:r w:rsidRPr="005826E2">
        <w:rPr>
          <w:rFonts w:ascii="Calibri" w:hAnsi="Calibri" w:cs="Calibri"/>
          <w:noProof/>
          <w:szCs w:val="24"/>
        </w:rPr>
        <w:t xml:space="preserve">, </w:t>
      </w:r>
      <w:r w:rsidRPr="005826E2">
        <w:rPr>
          <w:rFonts w:ascii="Calibri" w:hAnsi="Calibri" w:cs="Calibri"/>
          <w:i/>
          <w:iCs/>
          <w:noProof/>
          <w:szCs w:val="24"/>
        </w:rPr>
        <w:t>79</w:t>
      </w:r>
      <w:r w:rsidRPr="005826E2">
        <w:rPr>
          <w:rFonts w:ascii="Calibri" w:hAnsi="Calibri" w:cs="Calibri"/>
          <w:noProof/>
          <w:szCs w:val="24"/>
        </w:rPr>
        <w:t>(3–4), 361–383. https://doi.org/10.1016/j.geomorph.2006.06.037</w:t>
      </w:r>
    </w:p>
    <w:p w14:paraId="25526B91"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Thoma, D. P., Gupta, S. C., Bauer, M. E., &amp; Kirchoff, C. E. (2005). Airborne laser scanning for riverbank erosion assessment. </w:t>
      </w:r>
      <w:r w:rsidRPr="005826E2">
        <w:rPr>
          <w:rFonts w:ascii="Calibri" w:hAnsi="Calibri" w:cs="Calibri"/>
          <w:i/>
          <w:iCs/>
          <w:noProof/>
          <w:szCs w:val="24"/>
        </w:rPr>
        <w:t>Remote Sensing of Environment</w:t>
      </w:r>
      <w:r w:rsidRPr="005826E2">
        <w:rPr>
          <w:rFonts w:ascii="Calibri" w:hAnsi="Calibri" w:cs="Calibri"/>
          <w:noProof/>
          <w:szCs w:val="24"/>
        </w:rPr>
        <w:t xml:space="preserve">, </w:t>
      </w:r>
      <w:r w:rsidRPr="005826E2">
        <w:rPr>
          <w:rFonts w:ascii="Calibri" w:hAnsi="Calibri" w:cs="Calibri"/>
          <w:i/>
          <w:iCs/>
          <w:noProof/>
          <w:szCs w:val="24"/>
        </w:rPr>
        <w:t>95</w:t>
      </w:r>
      <w:r w:rsidRPr="005826E2">
        <w:rPr>
          <w:rFonts w:ascii="Calibri" w:hAnsi="Calibri" w:cs="Calibri"/>
          <w:noProof/>
          <w:szCs w:val="24"/>
        </w:rPr>
        <w:t>(4), 493–501. https://doi.org/10.1016/j.rse.2005.01.012</w:t>
      </w:r>
    </w:p>
    <w:p w14:paraId="65F558FD"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Thomas, J. T., Iverson, N. R., Burkart, M. R., &amp; Kramer, L. A. (2004). Long-term growth of a valley-bottom gully, Western Iowa. </w:t>
      </w:r>
      <w:r w:rsidRPr="005826E2">
        <w:rPr>
          <w:rFonts w:ascii="Calibri" w:hAnsi="Calibri" w:cs="Calibri"/>
          <w:i/>
          <w:iCs/>
          <w:noProof/>
          <w:szCs w:val="24"/>
        </w:rPr>
        <w:t>Earth Surface Processes and Landforms</w:t>
      </w:r>
      <w:r w:rsidRPr="005826E2">
        <w:rPr>
          <w:rFonts w:ascii="Calibri" w:hAnsi="Calibri" w:cs="Calibri"/>
          <w:noProof/>
          <w:szCs w:val="24"/>
        </w:rPr>
        <w:t xml:space="preserve">, </w:t>
      </w:r>
      <w:r w:rsidRPr="005826E2">
        <w:rPr>
          <w:rFonts w:ascii="Calibri" w:hAnsi="Calibri" w:cs="Calibri"/>
          <w:i/>
          <w:iCs/>
          <w:noProof/>
          <w:szCs w:val="24"/>
        </w:rPr>
        <w:t>29</w:t>
      </w:r>
      <w:r w:rsidRPr="005826E2">
        <w:rPr>
          <w:rFonts w:ascii="Calibri" w:hAnsi="Calibri" w:cs="Calibri"/>
          <w:noProof/>
          <w:szCs w:val="24"/>
        </w:rPr>
        <w:t>(8), 995–1009. https://doi.org/10.1002/esp.1084</w:t>
      </w:r>
    </w:p>
    <w:p w14:paraId="1063CE69"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Tomer, M. D., &amp; James, D. E. (2004). Do soil surveys and terrain analyses identify similar priority sites for conservation? </w:t>
      </w:r>
      <w:r w:rsidRPr="005826E2">
        <w:rPr>
          <w:rFonts w:ascii="Calibri" w:hAnsi="Calibri" w:cs="Calibri"/>
          <w:i/>
          <w:iCs/>
          <w:noProof/>
          <w:szCs w:val="24"/>
        </w:rPr>
        <w:t>Soil Science Society of America Journal</w:t>
      </w:r>
      <w:r w:rsidRPr="005826E2">
        <w:rPr>
          <w:rFonts w:ascii="Calibri" w:hAnsi="Calibri" w:cs="Calibri"/>
          <w:noProof/>
          <w:szCs w:val="24"/>
        </w:rPr>
        <w:t xml:space="preserve">, </w:t>
      </w:r>
      <w:r w:rsidRPr="005826E2">
        <w:rPr>
          <w:rFonts w:ascii="Calibri" w:hAnsi="Calibri" w:cs="Calibri"/>
          <w:i/>
          <w:iCs/>
          <w:noProof/>
          <w:szCs w:val="24"/>
        </w:rPr>
        <w:t>68</w:t>
      </w:r>
      <w:r w:rsidRPr="005826E2">
        <w:rPr>
          <w:rFonts w:ascii="Calibri" w:hAnsi="Calibri" w:cs="Calibri"/>
          <w:noProof/>
          <w:szCs w:val="24"/>
        </w:rPr>
        <w:t>(6), 1905–1915. https://doi.org/10.2136/sssaj2004.1905</w:t>
      </w:r>
    </w:p>
    <w:p w14:paraId="5FF24638"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Tomer, M. D., &amp; Van Horn, J. D. (2018). Stream bank and sediment movement associated with 2008 flooding, South Fork Iowa River. </w:t>
      </w:r>
      <w:r w:rsidRPr="005826E2">
        <w:rPr>
          <w:rFonts w:ascii="Calibri" w:hAnsi="Calibri" w:cs="Calibri"/>
          <w:i/>
          <w:iCs/>
          <w:noProof/>
          <w:szCs w:val="24"/>
        </w:rPr>
        <w:t>Journal of Soil and Water Conservation</w:t>
      </w:r>
      <w:r w:rsidRPr="005826E2">
        <w:rPr>
          <w:rFonts w:ascii="Calibri" w:hAnsi="Calibri" w:cs="Calibri"/>
          <w:noProof/>
          <w:szCs w:val="24"/>
        </w:rPr>
        <w:t xml:space="preserve">, </w:t>
      </w:r>
      <w:r w:rsidRPr="005826E2">
        <w:rPr>
          <w:rFonts w:ascii="Calibri" w:hAnsi="Calibri" w:cs="Calibri"/>
          <w:i/>
          <w:iCs/>
          <w:noProof/>
          <w:szCs w:val="24"/>
        </w:rPr>
        <w:t>73</w:t>
      </w:r>
      <w:r w:rsidRPr="005826E2">
        <w:rPr>
          <w:rFonts w:ascii="Calibri" w:hAnsi="Calibri" w:cs="Calibri"/>
          <w:noProof/>
          <w:szCs w:val="24"/>
        </w:rPr>
        <w:t>(2), 97–106. https://doi.org/10.2489/jswc.73.2.97</w:t>
      </w:r>
    </w:p>
    <w:p w14:paraId="6C7CB566"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Wilkin, D. C., &amp; Hebel, S. J. (1982). Erosion, redeposition, and delivery of sediment to midwestern streams. </w:t>
      </w:r>
      <w:r w:rsidRPr="005826E2">
        <w:rPr>
          <w:rFonts w:ascii="Calibri" w:hAnsi="Calibri" w:cs="Calibri"/>
          <w:i/>
          <w:iCs/>
          <w:noProof/>
          <w:szCs w:val="24"/>
        </w:rPr>
        <w:t>Water Resources Research</w:t>
      </w:r>
      <w:r w:rsidRPr="005826E2">
        <w:rPr>
          <w:rFonts w:ascii="Calibri" w:hAnsi="Calibri" w:cs="Calibri"/>
          <w:noProof/>
          <w:szCs w:val="24"/>
        </w:rPr>
        <w:t xml:space="preserve">, </w:t>
      </w:r>
      <w:r w:rsidRPr="005826E2">
        <w:rPr>
          <w:rFonts w:ascii="Calibri" w:hAnsi="Calibri" w:cs="Calibri"/>
          <w:i/>
          <w:iCs/>
          <w:noProof/>
          <w:szCs w:val="24"/>
        </w:rPr>
        <w:t>18</w:t>
      </w:r>
      <w:r w:rsidRPr="005826E2">
        <w:rPr>
          <w:rFonts w:ascii="Calibri" w:hAnsi="Calibri" w:cs="Calibri"/>
          <w:noProof/>
          <w:szCs w:val="24"/>
        </w:rPr>
        <w:t>(4), 1278–1282. https://doi.org/10.1029/WR018i004p01278</w:t>
      </w:r>
    </w:p>
    <w:p w14:paraId="0747E8D8"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szCs w:val="24"/>
        </w:rPr>
      </w:pPr>
      <w:r w:rsidRPr="005826E2">
        <w:rPr>
          <w:rFonts w:ascii="Calibri" w:hAnsi="Calibri" w:cs="Calibri"/>
          <w:noProof/>
          <w:szCs w:val="24"/>
        </w:rPr>
        <w:t xml:space="preserve">Yahner, T. (2016). LANDFORMS OF IOWA. </w:t>
      </w:r>
      <w:r w:rsidRPr="005826E2">
        <w:rPr>
          <w:rFonts w:ascii="Calibri" w:hAnsi="Calibri" w:cs="Calibri"/>
          <w:i/>
          <w:iCs/>
          <w:noProof/>
          <w:szCs w:val="24"/>
        </w:rPr>
        <w:t>Landscape Journal</w:t>
      </w:r>
      <w:r w:rsidRPr="005826E2">
        <w:rPr>
          <w:rFonts w:ascii="Calibri" w:hAnsi="Calibri" w:cs="Calibri"/>
          <w:noProof/>
          <w:szCs w:val="24"/>
        </w:rPr>
        <w:t xml:space="preserve">, </w:t>
      </w:r>
      <w:r w:rsidRPr="005826E2">
        <w:rPr>
          <w:rFonts w:ascii="Calibri" w:hAnsi="Calibri" w:cs="Calibri"/>
          <w:i/>
          <w:iCs/>
          <w:noProof/>
          <w:szCs w:val="24"/>
        </w:rPr>
        <w:t>12</w:t>
      </w:r>
      <w:r w:rsidRPr="005826E2">
        <w:rPr>
          <w:rFonts w:ascii="Calibri" w:hAnsi="Calibri" w:cs="Calibri"/>
          <w:noProof/>
          <w:szCs w:val="24"/>
        </w:rPr>
        <w:t>(2), 197–198. https://doi.org/10.3368/lj.12.2.197</w:t>
      </w:r>
    </w:p>
    <w:p w14:paraId="6CBC5166" w14:textId="77777777" w:rsidR="005826E2" w:rsidRPr="005826E2" w:rsidRDefault="005826E2" w:rsidP="005826E2">
      <w:pPr>
        <w:widowControl w:val="0"/>
        <w:autoSpaceDE w:val="0"/>
        <w:autoSpaceDN w:val="0"/>
        <w:adjustRightInd w:val="0"/>
        <w:spacing w:line="240" w:lineRule="auto"/>
        <w:ind w:left="480" w:hanging="480"/>
        <w:rPr>
          <w:rFonts w:ascii="Calibri" w:hAnsi="Calibri" w:cs="Calibri"/>
          <w:noProof/>
        </w:rPr>
      </w:pPr>
      <w:r w:rsidRPr="005826E2">
        <w:rPr>
          <w:rFonts w:ascii="Calibri" w:hAnsi="Calibri" w:cs="Calibri"/>
          <w:noProof/>
          <w:szCs w:val="24"/>
        </w:rPr>
        <w:t xml:space="preserve">Zaimes, G. N., Schultz, R. C., &amp; Isenhart, T. M. (2008). Streambank soil and phosphorus losses under different riparian land-uses in Iowa. </w:t>
      </w:r>
      <w:r w:rsidRPr="005826E2">
        <w:rPr>
          <w:rFonts w:ascii="Calibri" w:hAnsi="Calibri" w:cs="Calibri"/>
          <w:i/>
          <w:iCs/>
          <w:noProof/>
          <w:szCs w:val="24"/>
        </w:rPr>
        <w:t>Journal of the American Water Resources Association</w:t>
      </w:r>
      <w:r w:rsidRPr="005826E2">
        <w:rPr>
          <w:rFonts w:ascii="Calibri" w:hAnsi="Calibri" w:cs="Calibri"/>
          <w:noProof/>
          <w:szCs w:val="24"/>
        </w:rPr>
        <w:t xml:space="preserve">, </w:t>
      </w:r>
      <w:r w:rsidRPr="005826E2">
        <w:rPr>
          <w:rFonts w:ascii="Calibri" w:hAnsi="Calibri" w:cs="Calibri"/>
          <w:i/>
          <w:iCs/>
          <w:noProof/>
          <w:szCs w:val="24"/>
        </w:rPr>
        <w:t>44</w:t>
      </w:r>
      <w:r w:rsidRPr="005826E2">
        <w:rPr>
          <w:rFonts w:ascii="Calibri" w:hAnsi="Calibri" w:cs="Calibri"/>
          <w:noProof/>
          <w:szCs w:val="24"/>
        </w:rPr>
        <w:t>(4), 935–947. https://doi.org/10.1111/j.1752-1688.2008.00210.x</w:t>
      </w:r>
    </w:p>
    <w:p w14:paraId="612FA1B1" w14:textId="1E9A5637" w:rsidR="00F84264" w:rsidRDefault="005826E2" w:rsidP="005826E2">
      <w:r>
        <w:fldChar w:fldCharType="end"/>
      </w:r>
      <w:bookmarkStart w:id="30" w:name="_GoBack"/>
      <w:bookmarkEnd w:id="30"/>
    </w:p>
    <w:sectPr w:rsidR="00F84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E2"/>
    <w:rsid w:val="005826E2"/>
    <w:rsid w:val="00F84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96802"/>
  <w15:chartTrackingRefBased/>
  <w15:docId w15:val="{C129377F-1F30-4A5B-919E-D2D378706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B7FF8-44EC-4D49-A9C3-CB0308F1E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21297</Words>
  <Characters>121397</Characters>
  <Application>Microsoft Office Word</Application>
  <DocSecurity>0</DocSecurity>
  <Lines>1011</Lines>
  <Paragraphs>284</Paragraphs>
  <ScaleCrop>false</ScaleCrop>
  <Company/>
  <LinksUpToDate>false</LinksUpToDate>
  <CharactersWithSpaces>142410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 Williams</dc:creator>
  <cp:keywords/>
  <dc:description/>
  <cp:lastModifiedBy>Forrest Williams</cp:lastModifiedBy>
  <cp:revision>1</cp:revision>
  <dcterms:created xsi:type="dcterms:W3CDTF">2020-03-13T22:25:00Z</dcterms:created>
  <dcterms:modified xsi:type="dcterms:W3CDTF">2020-03-13T22:29:00Z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5fd748ce-a553-3114-acf4-c272612c4db6</vt:lpwstr>
  </property>
  <property fmtid="{D5CDD505-2E9C-101B-9397-08002B2CF9AE}" pid="4" name="Mendeley Citation Style_1">
    <vt:lpwstr>http://www.zotero.org/styles/apa</vt:lpwstr>
  </property>
</Properties>
</file>