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肌骨康复训练中的人体运动数据处理与游戏交互控制，公开一种面向多动作肌骨康复处方的游戏化方法。获取包含多个动作及各自动作剂量、执行关系的康复处方；对各动作按预设问题模式确定目标姿态、运动模式、关节参与、控制维度和协同关系等属性答案，形成经过一致性校验的答案向量；依据分类规则生成动作类别、原语结构及接口需求，匹配游戏模板，并按处方执行关系组装游戏任务图；利用实时运动数据驱动游戏，在动作条件满足后提交有效完成事件，分别更新各处方项目的剂量。本发明通过具有明确答案域的多属性问答实现已有及新增动作的可解释分类，使不同动作和剂量的处方能够复用游戏机制，并保持整份处方的执行顺序和完成条件。</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3936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3936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1、一种面向多动作肌骨康复处方的游戏化方法，由与运动数据采集装置及游戏显示装置连接的处理装置执行，其特征在于，包括以下步骤：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肌骨康复处方，所述肌骨康复处方包括一个或多个处方项目、各处方项目的动作描述及剂量参数，以及处方项目之间的执行关系；所述剂量参数包括目标范围、次数、组数、保持时长及休息时长中的至少一种；</w:t>
      </w:r>
    </w:p>
    <w:p>
      <w:pPr>
        <w:keepNext w:val="0"/>
        <w:widowControl/>
        <w:spacing w:line="360" w:lineRule="auto" w:after="0" w:before="0"/>
        <w:ind w:firstLine="480"/>
        <w:jc w:val="both"/>
      </w:pPr>
      <w:r>
        <w:rPr>
          <w:b w:val="0"/>
          <w:sz w:val="24"/>
        </w:rPr>
        <w:t>S2：对各处方项目中的动作，按照预设问题模式确定多个属性问题的答案；所述属性问题至少包括目标姿态结构、运动模式、关节参与结构、独立连续控制维度及肢体协同关系，各属性问题具有明确的答案域和基于动作描述的答案判定条件，所述答案判定条件对满足问题模式的动作描述形成互斥且完备的划分；将各问题的答案组合成答案向量并进行跨问题一致性校验；</w:t>
      </w:r>
    </w:p>
    <w:p>
      <w:pPr>
        <w:keepNext w:val="0"/>
        <w:widowControl/>
        <w:spacing w:line="360" w:lineRule="auto" w:after="0" w:before="0"/>
        <w:ind w:firstLine="480"/>
        <w:jc w:val="both"/>
      </w:pPr>
      <w:r>
        <w:rPr>
          <w:b w:val="0"/>
          <w:sz w:val="24"/>
        </w:rPr>
        <w:t>S3：将通过校验的答案向量输入预设分类规则，确定动作主类别及附加属性，依据所述答案向量与原语生成规则之间的关联，生成包含状态节点、连接关系及动作约束的训练原语图，并导出控制通道、节点类型、协同方式及监测条件构成的接口需求；</w:t>
      </w:r>
    </w:p>
    <w:p>
      <w:pPr>
        <w:keepNext w:val="0"/>
        <w:widowControl/>
        <w:spacing w:line="360" w:lineRule="auto" w:after="0" w:before="0"/>
        <w:ind w:firstLine="480"/>
        <w:jc w:val="both"/>
      </w:pPr>
      <w:r>
        <w:rPr>
          <w:b w:val="0"/>
          <w:sz w:val="24"/>
        </w:rPr>
        <w:t>S4：根据所述接口需求与游戏模板的能力声明确定兼容关系，选择兼容的游戏模板并绑定控制通道，将各处方项目的剂量参数写入相应原语图，并按照所述执行关系及休息要求组装处方游戏任务图，使游戏任务实例与处方项目及其剂量记录项关联；</w:t>
      </w:r>
    </w:p>
    <w:p>
      <w:pPr>
        <w:keepNext w:val="0"/>
        <w:widowControl/>
        <w:spacing w:line="360" w:lineRule="auto" w:after="0" w:before="0"/>
        <w:ind w:firstLine="480"/>
        <w:jc w:val="both"/>
      </w:pPr>
      <w:r>
        <w:rPr>
          <w:b w:val="0"/>
          <w:sz w:val="24"/>
        </w:rPr>
        <w:t>S5：处理实时采集的运动数据，生成与所述答案向量确定的控制结构对应的游戏控制量，按照所述原语图中的动作约束和状态转换条件产生有效完成事件，更新对应处方项目的剂量记录，并依据处方游戏任务图启动后继任务或结束当前处方的执行。</w:t>
      </w:r>
    </w:p>
    <w:p>
      <w:pPr>
        <w:keepNext w:val="0"/>
        <w:widowControl/>
        <w:spacing w:line="360" w:lineRule="auto" w:after="0" w:before="0"/>
        <w:ind w:firstLine="480"/>
        <w:jc w:val="both"/>
      </w:pPr>
      <w:r>
        <w:rPr>
          <w:b w:val="0"/>
          <w:sz w:val="24"/>
        </w:rPr>
        <w:t>2、根据权利要求1所述的方法，其特征在于，所述预设问题模式为每个属性问题记录问题标识、答案域、适用条件、答案判定条件及对应的原语生成规则；答案通过读取动作库中的结构化字段或配置界面上的明确选项确定；一个问题允许具有两个以上的答案选项，对于不适用的条件问题使用具有确定适用条件的不适用选项，对于自定义组合使用包含子阶段及其关系的结构化答案；缺少必需字段或出现相互冲突的答案时返回待补充或待校验状态，不将未知状态当作已确定的动作类别。</w:t>
      </w:r>
    </w:p>
    <w:p>
      <w:pPr>
        <w:keepNext w:val="0"/>
        <w:widowControl/>
        <w:spacing w:line="360" w:lineRule="auto" w:after="0" w:before="0"/>
        <w:ind w:firstLine="480"/>
        <w:jc w:val="both"/>
      </w:pPr>
      <w:r>
        <w:rPr>
          <w:b w:val="0"/>
          <w:sz w:val="24"/>
        </w:rPr>
        <w:t>3、根据权利要求1所述的方法，其特征在于，所述目标姿态结构区分一个目标姿态和多个目标姿态，多个目标姿态进一步区分同构镜像轮换与异构阶段组合；所述运动模式区分保持型、往复型、单程到达型及混合型；所述关节参与结构区分单关节、复合关节及整体姿态或位置特征；所述独立连续控制维度表示需要独立改变游戏进程的连续变量数量，并与必需监测通道数量分别记录，以使复合关节动作能够具有单维控制或多维控制。</w:t>
      </w:r>
    </w:p>
    <w:p>
      <w:pPr>
        <w:keepNext w:val="0"/>
        <w:widowControl/>
        <w:spacing w:line="360" w:lineRule="auto" w:after="0" w:before="0"/>
        <w:ind w:firstLine="480"/>
        <w:jc w:val="both"/>
      </w:pPr>
      <w:r>
        <w:rPr>
          <w:b w:val="0"/>
          <w:sz w:val="24"/>
        </w:rPr>
        <w:t>4、根据权利要求1所述的方法，其特征在于，将分类问题的答案编码为分块指示向量，保留目标姿态数量、实际控制维度、侧别及子阶段的结构化参数；对保持型与控制维度、往复型与返回要求、交替关系与肢体配对、混合型与子阶段描述之间的关系执行一致性检查；将规则版本、答案来源及触发的分类规则与所述答案向量关联存储。</w:t>
      </w:r>
    </w:p>
    <w:p>
      <w:pPr>
        <w:keepNext w:val="0"/>
        <w:widowControl/>
        <w:spacing w:line="360" w:lineRule="auto" w:after="0" w:before="0"/>
        <w:ind w:firstLine="480"/>
        <w:jc w:val="both"/>
      </w:pPr>
      <w:r>
        <w:rPr>
          <w:b w:val="0"/>
          <w:sz w:val="24"/>
        </w:rPr>
        <w:t>5、根据权利要求1所述的方法，其特征在于，按照预设优先顺序将动作主类别确定为顺序组合类、对侧交替类、双侧同步类、姿态保持类、多通道轨迹类、单通道往返类、单通道到达类或组合扩展类；采用首个满足规则确定主类别，同时保留其余命中的保持、交替、体位及稳定约束属性；对顺序组合类或组合扩展类的子动作递归执行同一问题模式及分类规则。</w:t>
      </w:r>
    </w:p>
    <w:p>
      <w:pPr>
        <w:keepNext w:val="0"/>
        <w:widowControl/>
        <w:spacing w:line="360" w:lineRule="auto" w:after="0" w:before="0"/>
        <w:ind w:firstLine="480"/>
        <w:jc w:val="both"/>
      </w:pPr>
      <w:r>
        <w:rPr>
          <w:b w:val="0"/>
          <w:sz w:val="24"/>
        </w:rPr>
        <w:t>6、根据权利要求1所述的方法，其特征在于，按照各答案对应的生成规则分别产生准备、到达、保持、返回、休息或退出节点，并通过顺序、并行完成、交替及重复算子连接节点或子图；对并行活动通道采用联合条件判断保持节点是否有效，不以不同通道分别完成保持的时段相加代替共同保持；将问题答案及答案关联的约束保留在节点条件和连接条件中。</w:t>
      </w:r>
    </w:p>
    <w:p>
      <w:pPr>
        <w:keepNext w:val="0"/>
        <w:widowControl/>
        <w:spacing w:line="360" w:lineRule="auto" w:after="0" w:before="0"/>
        <w:ind w:firstLine="480"/>
        <w:jc w:val="both"/>
      </w:pPr>
      <w:r>
        <w:rPr>
          <w:b w:val="0"/>
          <w:sz w:val="24"/>
        </w:rPr>
        <w:t>7、根据权利要求1所述的方法，其特征在于，通过动作所需通道与模板输入槽位之间的类型兼容关系求取不冲突的通道绑定，并检查必需节点、协同关系、训练体位、保持计时、侧别计数、暂停休息及测量能力；全部必需条件满足时该模板才作为候选；没有兼容模板时，输出未满足的接口或监测条件，不修改答案或处方剂量以使匹配通过。</w:t>
      </w:r>
    </w:p>
    <w:p>
      <w:pPr>
        <w:keepNext w:val="0"/>
        <w:widowControl/>
        <w:spacing w:line="360" w:lineRule="auto" w:after="0" w:before="0"/>
        <w:ind w:firstLine="480"/>
        <w:jc w:val="both"/>
      </w:pPr>
      <w:r>
        <w:rPr>
          <w:b w:val="0"/>
          <w:sz w:val="24"/>
        </w:rPr>
        <w:t>8、根据权利要求1所述的方法，其特征在于，对处方项目分别建立候选模板集合，在满足各项目兼容关系的前提下，以未使用输入槽位代价及相邻项目之间的模板切换代价为选择依据，为多个处方项目联合选择游戏模板；模板选择不改变处方规定的项目先后关系、轮次结构及最小休息时长。</w:t>
      </w:r>
    </w:p>
    <w:p>
      <w:pPr>
        <w:keepNext w:val="0"/>
        <w:widowControl/>
        <w:spacing w:line="360" w:lineRule="auto" w:after="0" w:before="0"/>
        <w:ind w:firstLine="480"/>
        <w:jc w:val="both"/>
      </w:pPr>
      <w:r>
        <w:rPr>
          <w:b w:val="0"/>
          <w:sz w:val="24"/>
        </w:rPr>
        <w:t>9、根据权利要求1所述的方法，其特征在于，所述处方游戏任务图具有处方项目标识、处方版本及节点级剂量记录，按照医生确认的执行关系串接或重复多个项目的任务子图；体位改变或采集节点改变时，在项目之间插入准备确认节点；同一游戏模板被多个处方项目复用时，为各项目建立相互区分的运行实例及剂量记录，不将一个动作的有效完成量抵扣另一动作的剩余剂量。</w:t>
      </w:r>
    </w:p>
    <w:p>
      <w:pPr>
        <w:keepNext w:val="0"/>
        <w:widowControl/>
        <w:spacing w:line="360" w:lineRule="auto" w:after="0" w:before="0"/>
        <w:ind w:firstLine="480"/>
        <w:jc w:val="both"/>
      </w:pPr>
      <w:r>
        <w:rPr>
          <w:b w:val="0"/>
          <w:sz w:val="24"/>
        </w:rPr>
        <w:t>10、根据权利要求1所述的方法，其特征在于，对各活动通道按起始特征和处方目标特征进行归一化以驱动游戏对象，同时使用保留物理单位的运动特征判定目标区间及约束部位的允许范围；对于配置有同步关系的通道，按协同关系图中的边判断归一化进度差，并与各通道目标条件联合判定；显示数值被限制在零至一范围内不导致超出允许范围的动作被判为有效。</w:t>
      </w:r>
    </w:p>
    <w:p>
      <w:pPr>
        <w:keepNext w:val="0"/>
        <w:widowControl/>
        <w:spacing w:line="360" w:lineRule="auto" w:after="0" w:before="0"/>
        <w:ind w:firstLine="480"/>
        <w:jc w:val="both"/>
      </w:pPr>
      <w:r>
        <w:rPr>
          <w:b w:val="0"/>
          <w:sz w:val="24"/>
        </w:rPr>
        <w:t>11、根据权利要求1所述的方法，其特征在于，对于要求连续保持的节点，仅累计相邻有效采样间隔内全部必需条件连续满足的时长，中断时清零；对于包含返回的动作，在规定阶段完成并返回确认后生成有效完成事件；对包括处方版本、处方项目、组、侧别及周期标识的事件执行去重，更新相应项目的次数或保持时长记录，且不以游戏奖励分数更新剂量。</w:t>
      </w:r>
    </w:p>
    <w:p>
      <w:pPr>
        <w:keepNext w:val="0"/>
        <w:widowControl/>
        <w:spacing w:line="360" w:lineRule="auto" w:after="0" w:before="0"/>
        <w:ind w:firstLine="480"/>
        <w:jc w:val="both"/>
      </w:pPr>
      <w:r>
        <w:rPr>
          <w:b w:val="0"/>
          <w:sz w:val="24"/>
        </w:rPr>
        <w:t>12、根据权利要求1所述的方法，其特征在于，新增动作通过所述问题模式形成答案向量，依据已有分类规则及原语生成规则导出接口需求；当已有游戏模板能够支持所述接口需求时，通过配置动作特征与通道绑定实现复用；需要新的原语或接口时，保留分类结果并输出所需扩展项，在扩展完成并通过兼容性检查后再启动任务。</w:t>
      </w:r>
    </w:p>
    <w:p>
      <w:pPr>
        <w:keepNext w:val="0"/>
        <w:widowControl/>
        <w:spacing w:line="360" w:lineRule="auto" w:after="0" w:before="0"/>
        <w:ind w:firstLine="480"/>
        <w:jc w:val="both"/>
      </w:pPr>
      <w:r>
        <w:rPr>
          <w:b w:val="0"/>
          <w:sz w:val="24"/>
        </w:rPr>
        <w:t>13、根据权利要求1所述的方法，其特征在于，运行中改变处方项目、剂量参数或执行关系时生成新的处方版本并重新编译任务图；仅改变游戏表现参数时保持处方条件不变；暂停或切换场景时保留已提交剂量，撤销未提交周期的完成资格，并在恢复后重新确认准备状态。</w:t>
      </w:r>
    </w:p>
    <w:p>
      <w:pPr>
        <w:keepNext w:val="0"/>
        <w:widowControl/>
        <w:spacing w:line="360" w:lineRule="auto" w:after="0" w:before="0"/>
        <w:ind w:firstLine="480"/>
        <w:jc w:val="both"/>
      </w:pPr>
      <w:r>
        <w:rPr>
          <w:b w:val="0"/>
          <w:sz w:val="24"/>
        </w:rPr>
        <w:t>14、一种面向多动作肌骨康复处方的游戏化系统，其特征在于，包括运动数据采集装置、游戏显示装置及处理装置；所述处理装置包括处方接入模块、属性问答模块、分类与原语生成模块、模板匹配与处方编排模块、运行控制模块及剂量管理模块；处方接入模块获取含多个项目及执行关系的康复处方；属性问答模块依据明确的答案域形成经一致性校验的答案向量；分类与原语生成模块依据答案向量输出类别、原语图及接口需求；模板匹配与处方编排模块选择兼容游戏模板并构建处方游戏任务图；运行控制模块根据运动数据驱动游戏并执行节点条件；剂量管理模块基于有效完成事件分别更新各处方项目的记录；所述各模块协同执行权利要求1至13任一项所述的方法。</w:t>
      </w:r>
    </w:p>
    <w:p>
      <w:pPr>
        <w:keepNext w:val="0"/>
        <w:widowControl/>
        <w:spacing w:line="360" w:lineRule="auto" w:after="0" w:before="0"/>
        <w:ind w:firstLine="480"/>
        <w:jc w:val="both"/>
      </w:pPr>
      <w:r>
        <w:rPr>
          <w:b w:val="0"/>
          <w:sz w:val="24"/>
        </w:rPr>
        <w:t>15、一种电子设备，包括存储器和处理器，所述存储器存储有计算机程序，其特征在于，所述处理器执行所述计算机程序时实现权利要求1至13任一项所述的方法。</w:t>
      </w:r>
    </w:p>
    <w:p>
      <w:pPr>
        <w:keepNext w:val="0"/>
        <w:widowControl/>
        <w:spacing w:line="360" w:lineRule="auto" w:after="0" w:before="0"/>
        <w:ind w:firstLine="480"/>
        <w:jc w:val="both"/>
      </w:pPr>
      <w:r>
        <w:rPr>
          <w:b w:val="0"/>
          <w:sz w:val="24"/>
        </w:rPr>
        <w:t>16、一种计算机可读存储介质，其上存储有计算机程序，其特征在于，所述计算机程序被处理器执行时实现权利要求1至13任一项所述的方法。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一种面向多动作肌骨康复处方的游戏化方法</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本发明涉及肌骨康复训练中的人体运动数据处理、可穿戴传感及游戏交互控制技术领域，特别涉及一种面向多动作肌骨康复处方的游戏化方法。</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将医生确定的包含一个或多个肌骨康复动作及对应剂量、执行关系的处方，转换为能够由实时运动数据驱动的游戏任务；在此过程中，通过具有明确答案域的属性问题，使已有及新增动作得到可解释、可复核的分类，并将分类结果直接用于游戏接口绑定和任务结构生成。</w:t>
      </w:r>
    </w:p>
    <w:p>
      <w:pPr>
        <w:keepNext w:val="0"/>
        <w:widowControl/>
        <w:spacing w:line="360" w:lineRule="auto" w:after="0" w:before="0"/>
        <w:ind w:firstLine="480"/>
        <w:jc w:val="both"/>
      </w:pPr>
      <w:r>
        <w:rPr>
          <w:b w:val="0"/>
          <w:sz w:val="24"/>
        </w:rPr>
        <w:t>本发明提供一种面向多动作肌骨康复处方的游戏化方法，包括以下步骤。</w:t>
      </w:r>
    </w:p>
    <w:p>
      <w:pPr>
        <w:keepNext w:val="0"/>
        <w:widowControl/>
        <w:spacing w:line="360" w:lineRule="auto" w:after="0" w:before="0"/>
        <w:ind w:firstLine="480"/>
        <w:jc w:val="both"/>
      </w:pPr>
      <w:r>
        <w:rPr>
          <w:b w:val="0"/>
          <w:sz w:val="24"/>
        </w:rPr>
        <w:t>S1，获取整份康复处方，分离处方项目、各项目中的动作描述与剂量参数，并保留项目顺序、循环轮次和休息条件。动作与剂量均属于处方内容；系统对已确认处方进行映射，不自行生成或更改治疗方案。</w:t>
      </w:r>
    </w:p>
    <w:p>
      <w:pPr>
        <w:keepNext w:val="0"/>
        <w:widowControl/>
        <w:spacing w:line="360" w:lineRule="auto" w:after="0" w:before="0"/>
        <w:ind w:firstLine="480"/>
        <w:jc w:val="both"/>
      </w:pPr>
      <w:r>
        <w:rPr>
          <w:b w:val="0"/>
          <w:sz w:val="24"/>
        </w:rPr>
        <w:t>S2，对各项目中的动作执行预设属性问题。每个问题具有明确答案域、判定条件和适用规则，通过动作库字段读取或配置界面选项得到答案，形成答案向量并校验问题之间的逻辑一致性。问题不限于二选一，能够表达单姿态与多姿态、保持与往复、单关节与复合关节等差异。</w:t>
      </w:r>
    </w:p>
    <w:p>
      <w:pPr>
        <w:keepNext w:val="0"/>
        <w:widowControl/>
        <w:spacing w:line="360" w:lineRule="auto" w:after="0" w:before="0"/>
        <w:ind w:firstLine="480"/>
        <w:jc w:val="both"/>
      </w:pPr>
      <w:r>
        <w:rPr>
          <w:b w:val="0"/>
          <w:sz w:val="24"/>
        </w:rPr>
        <w:t>S3，依据答案向量确定主类别及附加属性；分别将答案转换为原语节点、连接方式、运行条件和接口需求。分类结论同时带有触发规则和答案来源，能够解释为何适配某类游戏。</w:t>
      </w:r>
    </w:p>
    <w:p>
      <w:pPr>
        <w:keepNext w:val="0"/>
        <w:widowControl/>
        <w:spacing w:line="360" w:lineRule="auto" w:after="0" w:before="0"/>
        <w:ind w:firstLine="480"/>
        <w:jc w:val="both"/>
      </w:pPr>
      <w:r>
        <w:rPr>
          <w:b w:val="0"/>
          <w:sz w:val="24"/>
        </w:rPr>
        <w:t>S4，针对各项目检查模板能力与测量能力，绑定兼容的游戏输入接口并写入对应剂量；按照整份处方的项目关系及轮次组织游戏任务图。允许多个动作复用同一游戏模板，但分别保存动作判定条件和剂量记录。</w:t>
      </w:r>
    </w:p>
    <w:p>
      <w:pPr>
        <w:keepNext w:val="0"/>
        <w:widowControl/>
        <w:spacing w:line="360" w:lineRule="auto" w:after="0" w:before="0"/>
        <w:ind w:firstLine="480"/>
        <w:jc w:val="both"/>
      </w:pPr>
      <w:r>
        <w:rPr>
          <w:b w:val="0"/>
          <w:sz w:val="24"/>
        </w:rPr>
        <w:t>S5，利用运动数据驱动游戏并执行原语图，只有满足动作和时序条件的完成事件才能更新对应项目剂量；按照处方任务图推进休息、下一个项目、下一轮或结束流程。</w:t>
      </w:r>
    </w:p>
    <w:p>
      <w:pPr>
        <w:keepNext w:val="0"/>
        <w:widowControl/>
        <w:spacing w:line="360" w:lineRule="auto" w:after="0" w:before="0"/>
        <w:ind w:firstLine="480"/>
        <w:jc w:val="both"/>
      </w:pPr>
      <w:r>
        <w:rPr>
          <w:b w:val="0"/>
          <w:sz w:val="24"/>
        </w:rPr>
        <w:t>本发明还提供对应的系统、电子设备及计算机可读存储介质。系统中的属性问答模块并非仅供展示的问卷，而是向分类与原语生成模块提供结构化参数，进而改变运动特征提取方式、游戏控制通道绑定、状态节点及运行判定条件。</w:t>
      </w:r>
    </w:p>
    <w:p>
      <w:pPr>
        <w:keepNext w:val="0"/>
        <w:widowControl/>
        <w:spacing w:line="360" w:lineRule="auto" w:after="0" w:before="0"/>
        <w:ind w:firstLine="480"/>
        <w:jc w:val="both"/>
      </w:pPr>
      <w:r>
        <w:rPr>
          <w:b w:val="0"/>
          <w:sz w:val="24"/>
        </w:rPr>
        <w:t>本发明的有益效果包括：通过问题模式及一致性检查，减少动作命名差异造成的分类歧义；通过区分关节参与结构与独立控制维度，使不同解剖部位的动作能够复用相同游戏输入机制；通过保留所有必需答案及约束，避免仅选一个类别后丢失保持、协同或稳定条件；通过整份处方的项目级编排和独立记录，使多动作、多剂量的处方能够映射为一个或多个游戏场景，同时保持项目关系及完成条件一致。</w:t>
      </w:r>
    </w:p>
    <w:p>
      <w:pPr>
        <w:keepNext w:val="0"/>
        <w:widowControl/>
        <w:spacing w:line="360" w:lineRule="auto" w:after="0" w:before="0"/>
        <w:ind w:firstLine="480"/>
        <w:jc w:val="both"/>
      </w:pPr>
      <w:r>
        <w:rPr>
          <w:b w:val="0"/>
          <w:sz w:val="24"/>
        </w:rPr>
        <w:t>以下数学表达式是本发明中问题判定、接口匹配和运行控制的一种具体实现方式；各符号在对应实施步骤中定义。不同实现可采用等价的逻辑表达及数据结构。</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图1为整份康复处方经多属性问答、分类和编排映射到游戏的总体流程图，并作为摘要附图。</w:t>
      </w:r>
    </w:p>
    <w:p>
      <w:pPr>
        <w:keepNext w:val="0"/>
        <w:widowControl/>
        <w:spacing w:line="360" w:lineRule="auto" w:after="0" w:before="0"/>
        <w:ind w:firstLine="480"/>
        <w:jc w:val="both"/>
      </w:pPr>
      <w:r>
        <w:rPr>
          <w:b w:val="0"/>
          <w:sz w:val="24"/>
        </w:rPr>
        <w:t>图2为已有及新增动作的属性问答、分类、原语生成与接口检查流程图。</w:t>
      </w:r>
    </w:p>
    <w:p>
      <w:pPr>
        <w:keepNext w:val="0"/>
        <w:widowControl/>
        <w:spacing w:line="360" w:lineRule="auto" w:after="0" w:before="0"/>
        <w:ind w:firstLine="480"/>
        <w:jc w:val="both"/>
      </w:pPr>
      <w:r>
        <w:rPr>
          <w:b w:val="0"/>
          <w:sz w:val="24"/>
        </w:rPr>
        <w:t>图3为按属性答案确定主类别并保留附加属性的决策流程图。</w:t>
      </w:r>
    </w:p>
    <w:p>
      <w:pPr>
        <w:keepNext w:val="0"/>
        <w:widowControl/>
        <w:spacing w:line="360" w:lineRule="auto" w:after="0" w:before="0"/>
        <w:ind w:firstLine="480"/>
        <w:jc w:val="both"/>
      </w:pPr>
      <w:r>
        <w:rPr>
          <w:b w:val="0"/>
          <w:sz w:val="24"/>
        </w:rPr>
        <w:t>图4为答案驱动的训练原语组合、运行判定及剂量提交示意图。</w:t>
      </w:r>
    </w:p>
    <w:p>
      <w:pPr>
        <w:keepNext w:val="0"/>
        <w:widowControl/>
        <w:spacing w:line="360" w:lineRule="auto" w:after="0" w:before="0"/>
        <w:ind w:firstLine="480"/>
        <w:jc w:val="both"/>
      </w:pPr>
      <w:r>
        <w:rPr>
          <w:b w:val="0"/>
          <w:sz w:val="24"/>
        </w:rPr>
        <w:t>图5为鸟狗式、死虫式和坐位伸膝的问答分类及模板复用示意图。</w:t>
      </w:r>
    </w:p>
    <w:p>
      <w:pPr>
        <w:keepNext w:val="0"/>
        <w:widowControl/>
        <w:spacing w:line="360" w:lineRule="auto" w:after="0" w:before="0"/>
        <w:ind w:firstLine="480"/>
        <w:jc w:val="both"/>
      </w:pPr>
      <w:r>
        <w:rPr>
          <w:b w:val="0"/>
          <w:sz w:val="24"/>
        </w:rPr>
        <w:t>图6为多动作处方、模板匹配及游戏任务图编排示意图。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本发明以医生确定的肌骨康复处方为输入；下文所称康复处方均指该类训练处方。肌骨康复动作包括腰椎、膝关节、颈椎及肩部等部位的活动、稳定和协同训练动作，允许同一处方包含多个不同动作及各自剂量。设处方包含n个项目，表示为：</w:t>
      </w:r>
    </w:p>
    <w:p>
      <w:pPr>
        <w:keepLines/>
        <w:spacing w:line="276" w:lineRule="auto" w:before="120" w:after="120"/>
        <w:ind w:firstLine="0"/>
        <w:jc w:val="center"/>
      </w:pPr>
      <m:oMathPara>
        <m:oMath>
          <m:r>
            <w:rPr>
              <w:rFonts w:ascii="Cambria Math" w:hAnsi="Cambria Math"/>
              <w:sz w:val="24"/>
            </w:rPr>
            <m:t>𝒫=(p,ν,{</m:t>
          </m:r>
          <m:sSub>
            <m:e>
              <m:r>
                <w:rPr>
                  <w:rFonts w:ascii="Cambria Math" w:hAnsi="Cambria Math"/>
                  <w:sz w:val="24"/>
                </w:rPr>
                <m:t>I</m:t>
              </m:r>
            </m:e>
            <m:sub>
              <m:r>
                <w:rPr>
                  <w:rFonts w:ascii="Cambria Math" w:hAnsi="Cambria Math"/>
                  <w:sz w:val="24"/>
                </w:rPr>
                <m:t>i</m:t>
              </m:r>
            </m:sub>
          </m:sSub>
          <m:sSubSup>
            <m:e>
              <m:r>
                <w:rPr>
                  <w:rFonts w:ascii="Cambria Math" w:hAnsi="Cambria Math"/>
                  <w:sz w:val="24"/>
                </w:rPr>
                <m:t>}</m:t>
              </m:r>
            </m:e>
            <m:sub>
              <m:r>
                <w:rPr>
                  <w:rFonts w:ascii="Cambria Math" w:hAnsi="Cambria Math"/>
                  <w:sz w:val="24"/>
                </w:rPr>
                <m:t>i=1</m:t>
              </m:r>
            </m:sub>
            <m:sup>
              <m:r>
                <w:rPr>
                  <w:rFonts w:ascii="Cambria Math" w:hAnsi="Cambria Math"/>
                  <w:sz w:val="24"/>
                </w:rPr>
                <m:t>n</m:t>
              </m:r>
            </m:sup>
          </m:sSubSup>
          <m:r>
            <w:rPr>
              <w:rFonts w:ascii="Cambria Math" w:hAnsi="Cambria Math"/>
              <w:sz w:val="24"/>
            </w:rPr>
            <m:t>,</m:t>
          </m:r>
          <m:sSub>
            <m:e>
              <m:r>
                <w:rPr>
                  <w:rFonts w:ascii="Cambria Math" w:hAnsi="Cambria Math"/>
                  <w:sz w:val="24"/>
                </w:rPr>
                <m:t>E</m:t>
              </m:r>
            </m:e>
            <m:sub>
              <m:r>
                <w:rPr>
                  <w:rFonts w:ascii="Cambria Math" w:hAnsi="Cambria Math"/>
                  <w:sz w:val="24"/>
                </w:rPr>
                <m:t>P</m:t>
              </m:r>
            </m:sub>
          </m:sSub>
          <m:r>
            <w:rPr>
              <w:rFonts w:ascii="Cambria Math" w:hAnsi="Cambria Math"/>
              <w:sz w:val="24"/>
            </w:rPr>
            <m:t>,</m:t>
          </m:r>
          <m:sSub>
            <m:e>
              <m:r>
                <w:rPr>
                  <w:rFonts w:ascii="Cambria Math" w:hAnsi="Cambria Math"/>
                  <w:sz w:val="24"/>
                </w:rPr>
                <m:t>R</m:t>
              </m:r>
            </m:e>
            <m:sub>
              <m:r>
                <w:rPr>
                  <w:rFonts w:ascii="Cambria Math" w:hAnsi="Cambria Math"/>
                  <w:sz w:val="24"/>
                </w:rPr>
                <m:t>P</m:t>
              </m:r>
            </m:sub>
          </m:sSub>
          <m:r>
            <w:rPr>
              <w:rFonts w:ascii="Cambria Math" w:hAnsi="Cambria Math"/>
              <w:sz w:val="24"/>
            </w:rPr>
            <m:t>),</m:t>
          </m:r>
          <m:sSub>
            <m:e>
              <m:r>
                <w:rPr>
                  <w:rFonts w:ascii="Cambria Math" w:hAnsi="Cambria Math"/>
                  <w:sz w:val="24"/>
                </w:rPr>
                <m:t>I</m:t>
              </m:r>
            </m:e>
            <m:sub>
              <m:r>
                <w:rPr>
                  <w:rFonts w:ascii="Cambria Math" w:hAnsi="Cambria Math"/>
                  <w:sz w:val="24"/>
                </w:rPr>
                <m:t>i</m:t>
              </m:r>
            </m:sub>
          </m:sSub>
          <m:r>
            <w:rPr>
              <w:rFonts w:ascii="Cambria Math" w:hAnsi="Cambria Math"/>
              <w:sz w:val="24"/>
            </w:rPr>
            <m:t>=(</m:t>
          </m:r>
          <m:sSub>
            <m:e>
              <m:r>
                <w:rPr>
                  <w:rFonts w:ascii="Cambria Math" w:hAnsi="Cambria Math"/>
                  <w:sz w:val="24"/>
                </w:rPr>
                <m:t>ι</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m:oMathPara>
      <w:r>
        <w:rPr>
          <w:sz w:val="22"/>
        </w:rPr>
        <w:t xml:space="preserve">  （1）</w:t>
      </w:r>
    </w:p>
    <w:p>
      <w:pPr>
        <w:keepNext w:val="0"/>
        <w:widowControl/>
        <w:spacing w:line="360" w:lineRule="auto" w:after="0" w:before="0"/>
        <w:ind w:firstLine="480"/>
        <w:jc w:val="both"/>
      </w:pPr>
      <w:r>
        <w:rPr>
          <w:b w:val="0"/>
          <w:sz w:val="24"/>
        </w:rPr>
        <w:t>其中p为处方标识，ν为版本，ιᵢ为处方项目标识，Aᵢ为动作描述，</w:t>
      </w:r>
      <m:oMath>
        <m:sSub>
          <m:e>
            <m:r>
              <w:rPr>
                <w:rFonts w:ascii="Cambria Math" w:hAnsi="Cambria Math"/>
                <w:sz w:val="24"/>
              </w:rPr>
              <m:t>D</m:t>
            </m:r>
          </m:e>
          <m:sub>
            <m:r>
              <w:rPr>
                <w:rFonts w:ascii="Cambria Math" w:hAnsi="Cambria Math"/>
                <w:sz w:val="24"/>
              </w:rPr>
              <m:t>i</m:t>
            </m:r>
          </m:sub>
        </m:sSub>
      </m:oMath>
      <w:r>
        <w:rPr>
          <w:b w:val="0"/>
          <w:sz w:val="24"/>
        </w:rPr>
        <w:t>为该项目剂量；</w:t>
      </w:r>
      <m:oMath>
        <m:sSub>
          <m:e>
            <m:r>
              <w:rPr>
                <w:rFonts w:ascii="Cambria Math" w:hAnsi="Cambria Math"/>
                <w:sz w:val="24"/>
              </w:rPr>
              <m:t>E</m:t>
            </m:r>
          </m:e>
          <m:sub>
            <m:r>
              <w:rPr>
                <w:rFonts w:ascii="Cambria Math" w:hAnsi="Cambria Math"/>
                <w:sz w:val="24"/>
              </w:rPr>
              <m:t>P</m:t>
            </m:r>
          </m:sub>
        </m:sSub>
      </m:oMath>
      <w:r>
        <w:rPr>
          <w:b w:val="0"/>
          <w:sz w:val="24"/>
        </w:rPr>
        <w:t>记录项目先后或轮次内的有序关系，</w:t>
      </w:r>
      <m:oMath>
        <m:sSub>
          <m:e>
            <m:r>
              <w:rPr>
                <w:rFonts w:ascii="Cambria Math" w:hAnsi="Cambria Math"/>
                <w:sz w:val="24"/>
              </w:rPr>
              <m:t>R</m:t>
            </m:r>
          </m:e>
          <m:sub>
            <m:r>
              <w:rPr>
                <w:rFonts w:ascii="Cambria Math" w:hAnsi="Cambria Math"/>
                <w:sz w:val="24"/>
              </w:rPr>
              <m:t>P</m:t>
            </m:r>
          </m:sub>
        </m:sSub>
      </m:oMath>
      <w:r>
        <w:rPr>
          <w:b w:val="0"/>
          <w:sz w:val="24"/>
        </w:rPr>
        <w:t>记录组间休息、项目间休息及体位转换准备要求。即使两项目调用同一动作库条目，只要其在处方中的剂量或位置不同，仍使用不同项目标识。项目关系可以是顺序列表，也可以是展开有限轮次后的有向无环关系；循环训练采用具有明确轮次的重复节点，不使用无次数上限的任意循环。</w:t>
      </w:r>
    </w:p>
    <w:p>
      <w:pPr>
        <w:keepNext w:val="0"/>
        <w:widowControl/>
        <w:spacing w:line="360" w:lineRule="auto" w:after="0" w:before="0"/>
        <w:ind w:firstLine="480"/>
        <w:jc w:val="both"/>
      </w:pPr>
      <w:r>
        <w:rPr>
          <w:b w:val="0"/>
          <w:sz w:val="24"/>
        </w:rPr>
        <w:t>处方中没有明确项目次序时，系统可生成待确认的编排建议，医生或授权配置人员确认后再执行；优化游戏选择不能替代对训练顺序的确认。动作描述可通过动作标识引用动作库，并叠加该项目规定的动作变体与约束。</w:t>
      </w:r>
    </w:p>
    <w:p>
      <w:pPr>
        <w:keepNext w:val="0"/>
        <w:widowControl/>
        <w:spacing w:line="360" w:lineRule="auto" w:after="0" w:before="0"/>
        <w:ind w:firstLine="480"/>
        <w:jc w:val="both"/>
      </w:pPr>
      <w:r>
        <w:rPr>
          <w:b w:val="0"/>
          <w:sz w:val="24"/>
        </w:rPr>
        <w:t>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本节为处方到游戏映射的核心。系统不直接使用动作名称猜测游戏，也不把腰椎、膝、颈或肩部作为唯一分类依据，而是逐项回答关于动作控制结构的问题。每个问题的答案有明确含义，答案共同决定动作类别、原语结构和游戏输入接口。已有动作读取其登记答案；新增动作按相同问题模式完成登记。</w:t>
      </w:r>
    </w:p>
    <w:p>
      <w:pPr>
        <w:keepNext/>
        <w:widowControl/>
        <w:spacing w:line="360" w:lineRule="auto" w:after="0" w:before="0"/>
        <w:ind w:firstLine="0"/>
        <w:jc w:val="both"/>
      </w:pPr>
      <w:r>
        <w:rPr>
          <w:b/>
          <w:sz w:val="24"/>
        </w:rPr>
        <w:t>（一）具有明确答案域的问题模式</w:t>
      </w:r>
    </w:p>
    <w:p>
      <w:pPr>
        <w:keepNext w:val="0"/>
        <w:widowControl/>
        <w:spacing w:line="360" w:lineRule="auto" w:after="0" w:before="0"/>
        <w:ind w:firstLine="480"/>
        <w:jc w:val="both"/>
      </w:pPr>
      <w:r>
        <w:rPr>
          <w:b w:val="0"/>
          <w:sz w:val="24"/>
        </w:rPr>
        <w:t>每个问题记录问题标识、定义、答案选项、字段来源、判定条件、适用条件和映射规则。例如，“该动作是单关节还是复合关节运动”依据被指定为主动变化对象的功能关节确定；“保持型还是往复型”依据处方要求的主要执行过程确定。答案可以由字段自动推导，也可以由配置人员从明确选项中选择；系统不要求采用自然语言生成模型。</w:t>
      </w:r>
    </w:p>
    <w:p>
      <w:pPr>
        <w:keepNext w:val="0"/>
        <w:widowControl/>
        <w:spacing w:line="360" w:lineRule="auto" w:after="0" w:before="0"/>
        <w:ind w:firstLine="480"/>
        <w:jc w:val="both"/>
      </w:pPr>
      <w:r>
        <w:rPr>
          <w:b w:val="0"/>
          <w:sz w:val="24"/>
        </w:rPr>
        <w:t>“每个问题一定有答案”指：对于已经满足登记模式、信息完整且内部一致的动作描述，每个问题都具有且仅具有一个适用的选项。问题允许三个及以上选项；条件性问题设置具有明确适用范围的“不适用”，自定义组合选项则必须附带可读取的子阶段及关系。缺少医生要求、缺少动作定义或答案相互冲突属于输入尚未完成，不能借用“不适用”来掩盖，也不随机选择类别。</w:t>
      </w:r>
    </w:p>
    <w:p>
      <w:pPr>
        <w:keepNext w:val="0"/>
        <w:widowControl/>
        <w:spacing w:line="360" w:lineRule="auto" w:after="0" w:before="0"/>
        <w:ind w:firstLine="480"/>
        <w:jc w:val="both"/>
      </w:pPr>
      <w:r>
        <w:rPr>
          <w:b w:val="0"/>
          <w:sz w:val="24"/>
        </w:rPr>
        <w:t>令由动作描述及对应项目剂量组成的有效输入集合为</w:t>
      </w:r>
      <m:oMath>
        <m:sSub>
          <m:e>
            <m:r>
              <w:rPr>
                <w:rFonts w:ascii="Cambria Math" w:hAnsi="Cambria Math"/>
                <w:sz w:val="24"/>
              </w:rPr>
              <m:rPr>
                <m:scr m:val="script"/>
              </m:rPr>
              <m:t>X</m:t>
            </m:r>
          </m:e>
          <m:sub>
            <m:r>
              <w:rPr>
                <w:rFonts w:ascii="Cambria Math" w:hAnsi="Cambria Math"/>
                <w:sz w:val="24"/>
              </w:rPr>
              <m:rPr>
                <m:sty m:val="p"/>
              </m:rPr>
              <m:t>val</m:t>
            </m:r>
          </m:sub>
        </m:sSub>
      </m:oMath>
      <w:r>
        <w:rPr>
          <w:b w:val="0"/>
          <w:sz w:val="24"/>
        </w:rPr>
        <w:t>，输入X=(A,D)，第j个问题的有限选项集合为</w:t>
      </w:r>
      <m:oMath>
        <m:sSub>
          <m:e>
            <m:r>
              <w:rPr>
                <w:rFonts w:ascii="Cambria Math" w:hAnsi="Cambria Math"/>
                <w:sz w:val="24"/>
              </w:rPr>
              <m:t>Ω</m:t>
            </m:r>
          </m:e>
          <m:sub>
            <m:r>
              <w:rPr>
                <w:rFonts w:ascii="Cambria Math" w:hAnsi="Cambria Math"/>
                <w:sz w:val="24"/>
              </w:rPr>
              <m:t>j</m:t>
            </m:r>
          </m:sub>
        </m:sSub>
      </m:oMath>
      <w:r>
        <w:rPr>
          <w:b w:val="0"/>
          <w:sz w:val="24"/>
        </w:rPr>
        <w:t>，选项v对应的判定谓词为</w:t>
      </w:r>
      <m:oMath>
        <m:sSub>
          <m:e>
            <m:r>
              <w:rPr>
                <w:rFonts w:ascii="Cambria Math" w:hAnsi="Cambria Math"/>
                <w:sz w:val="24"/>
              </w:rPr>
              <m:t>ϕ</m:t>
            </m:r>
          </m:e>
          <m:sub>
            <m:r>
              <w:rPr>
                <w:rFonts w:ascii="Cambria Math" w:hAnsi="Cambria Math"/>
                <w:sz w:val="24"/>
              </w:rPr>
              <m:t>jv</m:t>
            </m:r>
          </m:sub>
        </m:sSub>
      </m:oMath>
      <w:r>
        <w:rPr>
          <w:b w:val="0"/>
          <w:sz w:val="24"/>
        </w:rPr>
        <w:t>。问题模式满足：</w:t>
      </w:r>
    </w:p>
    <w:p>
      <w:pPr>
        <w:keepLines/>
        <w:spacing w:line="276" w:lineRule="auto" w:before="120" w:after="120"/>
        <w:ind w:firstLine="0"/>
        <w:jc w:val="center"/>
      </w:pPr>
      <m:oMathPara>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𝒳</m:t>
              </m:r>
            </m:e>
            <m:sub>
              <m:r>
                <w:rPr>
                  <w:rFonts w:ascii="Cambria Math" w:hAnsi="Cambria Math"/>
                  <w:sz w:val="24"/>
                </w:rPr>
                <m:rPr>
                  <m:sty m:val="p"/>
                </m:rPr>
                <m:t>val</m:t>
              </m:r>
            </m:sub>
          </m:sSub>
          <m:r>
            <w:rPr>
              <w:rFonts w:ascii="Cambria Math" w:hAnsi="Cambria Math"/>
              <w:sz w:val="24"/>
            </w:rPr>
            <m:t>→</m:t>
          </m:r>
          <m:sSub>
            <m:e>
              <m:r>
                <w:rPr>
                  <w:rFonts w:ascii="Cambria Math" w:hAnsi="Cambria Math"/>
                  <w:sz w:val="24"/>
                </w:rPr>
                <m:t>Ω</m:t>
              </m:r>
            </m:e>
            <m:sub>
              <m:r>
                <w:rPr>
                  <w:rFonts w:ascii="Cambria Math" w:hAnsi="Cambria Math"/>
                  <w:sz w:val="24"/>
                </w:rPr>
                <m:t>j</m:t>
              </m:r>
            </m:sub>
          </m:sSub>
          <m:r>
            <w:rPr>
              <w:rFonts w:ascii="Cambria Math" w:hAnsi="Cambria Math"/>
              <w:sz w:val="24"/>
            </w:rPr>
            <m:t>,</m:t>
          </m:r>
          <m:nary>
            <m:naryPr>
              <m:chr m:val="∑"/>
              <m:limLoc m:val="undOvr"/>
              <m:grow m:val="1"/>
              <m:subHide m:val="off"/>
              <m:supHide m:val="on"/>
            </m:naryPr>
            <m:sub>
              <m:r>
                <w:rPr>
                  <w:rFonts w:ascii="Cambria Math" w:hAnsi="Cambria Math"/>
                  <w:sz w:val="24"/>
                </w:rPr>
                <m:t>v∈</m:t>
              </m:r>
              <m:sSub>
                <m:e>
                  <m:r>
                    <w:rPr>
                      <w:rFonts w:ascii="Cambria Math" w:hAnsi="Cambria Math"/>
                      <w:sz w:val="24"/>
                    </w:rPr>
                    <m:t>Ω</m:t>
                  </m:r>
                </m:e>
                <m:sub>
                  <m:r>
                    <w:rPr>
                      <w:rFonts w:ascii="Cambria Math" w:hAnsi="Cambria Math"/>
                      <w:sz w:val="24"/>
                    </w:rPr>
                    <m:t>j</m:t>
                  </m:r>
                </m:sub>
              </m:sSub>
            </m:sub>
            <m:sup/>
            <m:e>
              <m:r>
                <w:rPr>
                  <w:rFonts w:ascii="Cambria Math" w:hAnsi="Cambria Math"/>
                  <w:sz w:val="24"/>
                </w:rPr>
                <m:rPr>
                  <m:sty m:val="b"/>
                </m:rPr>
                <m:t>1</m:t>
              </m:r>
            </m:e>
          </m:nary>
          <m:r>
            <w:rPr>
              <w:rFonts w:ascii="Cambria Math" w:hAnsi="Cambria Math"/>
              <w:sz w:val="24"/>
            </w:rPr>
            <m:t>[</m:t>
          </m:r>
          <m:sSub>
            <m:e>
              <m:r>
                <w:rPr>
                  <w:rFonts w:ascii="Cambria Math" w:hAnsi="Cambria Math"/>
                  <w:sz w:val="24"/>
                </w:rPr>
                <m:t>ϕ</m:t>
              </m:r>
            </m:e>
            <m:sub>
              <m:r>
                <w:rPr>
                  <w:rFonts w:ascii="Cambria Math" w:hAnsi="Cambria Math"/>
                  <w:sz w:val="24"/>
                </w:rPr>
                <m:t>jv</m:t>
              </m:r>
            </m:sub>
          </m:sSub>
          <m:r>
            <w:rPr>
              <w:rFonts w:ascii="Cambria Math" w:hAnsi="Cambria Math"/>
              <w:sz w:val="24"/>
            </w:rPr>
            <m:t>(X)]=1.</m:t>
          </m:r>
        </m:oMath>
      </m:oMathPara>
      <w:r>
        <w:rPr>
          <w:sz w:val="22"/>
        </w:rPr>
        <w:t xml:space="preserve">  （2）</w:t>
      </w:r>
    </w:p>
    <w:p>
      <w:pPr>
        <w:keepNext w:val="0"/>
        <w:widowControl/>
        <w:spacing w:line="360" w:lineRule="auto" w:after="0" w:before="0"/>
        <w:ind w:firstLine="480"/>
        <w:jc w:val="both"/>
      </w:pPr>
      <w:r>
        <w:rPr>
          <w:b w:val="0"/>
          <w:sz w:val="24"/>
        </w:rPr>
        <w:t>式（2）中的指示函数在条件成立时取1，否则取0。该式同时要求选项互斥与覆盖有效输入。其成立依赖于明确的问题定义及登记校验，不意味着仅凭一段缺少信息的动作名称即可自动知道全部答案。结构化自定义答案使用“选项编码＋子阶段数据”的形式，选项集合本身仍保持有限。</w:t>
      </w:r>
    </w:p>
    <w:p>
      <w:pPr>
        <w:keepNext/>
        <w:widowControl/>
        <w:spacing w:line="360" w:lineRule="auto" w:after="0" w:before="0"/>
        <w:ind w:firstLine="0"/>
        <w:jc w:val="both"/>
      </w:pPr>
      <w:r>
        <w:rPr>
          <w:b/>
          <w:sz w:val="24"/>
        </w:rPr>
        <w:t>（二）基础问题及其答案定义</w:t>
      </w:r>
    </w:p>
    <w:p>
      <w:pPr>
        <w:keepNext w:val="0"/>
        <w:widowControl/>
        <w:spacing w:line="360" w:lineRule="auto" w:after="0" w:before="0"/>
        <w:ind w:firstLine="480"/>
        <w:jc w:val="both"/>
      </w:pPr>
      <w:r>
        <w:rPr>
          <w:b w:val="0"/>
          <w:sz w:val="24"/>
        </w:rPr>
        <w:t>Q1，动作需要达到一个目标姿态还是多个目标姿态。答案为“一个目标姿态”或“多个目标姿态”，并记录目标数量。这里的目标姿态是处方指定的达标姿态或运动终点；起始姿态、返回起始的重复以及移动中每个采样姿态不重复计为新的目标。多目标动作继续由Q8说明组织关系，避免把左右镜像轮换误判为完全不同的动作序列。</w:t>
      </w:r>
    </w:p>
    <w:p>
      <w:pPr>
        <w:keepNext w:val="0"/>
        <w:widowControl/>
        <w:spacing w:line="360" w:lineRule="auto" w:after="0" w:before="0"/>
        <w:ind w:firstLine="480"/>
        <w:jc w:val="both"/>
      </w:pPr>
      <w:r>
        <w:rPr>
          <w:b w:val="0"/>
          <w:sz w:val="24"/>
        </w:rPr>
        <w:t>Q2，动作的主要执行模式是什么。答案为“保持型”“往复型”“单程到达型”或“混合型”。保持型以在一个目标条件内持续停留为主要任务；往复型要求离开起始、达到目标并返回；单程到达型在到达目标及规定退出条件满足后结束；混合型包含两种以上不同执行结构的子阶段。往复过程中在终点停留并不自动变为混合型，该停留由Q7表达。</w:t>
      </w:r>
    </w:p>
    <w:p>
      <w:pPr>
        <w:keepNext w:val="0"/>
        <w:widowControl/>
        <w:spacing w:line="360" w:lineRule="auto" w:after="0" w:before="0"/>
        <w:ind w:firstLine="480"/>
        <w:jc w:val="both"/>
      </w:pPr>
      <w:r>
        <w:rPr>
          <w:b w:val="0"/>
          <w:sz w:val="24"/>
        </w:rPr>
        <w:t>Q3，需要主动改变的关节参与结构是什么。答案为“单关节”“复合关节”或“整体姿态或位置特征”。单关节指动作配置所指定的一个功能关节为主要活动对象；复合关节指两个或更多功能关节被要求主动改变；主要通过质心、躯干姿态或整体位置描述且不采用单一活动关节划分时选择第三项。判定时先检查是否登记了明确的主动变化关节列表：有列表时按一个或多个确定前两项；没有该列表且使用已定义的整体特征时确定第三项。用于监测稳定性的关节单独记录，不因监测其姿态就将单关节动作改为复合关节。</w:t>
      </w:r>
    </w:p>
    <w:p>
      <w:pPr>
        <w:keepNext w:val="0"/>
        <w:widowControl/>
        <w:spacing w:line="360" w:lineRule="auto" w:after="0" w:before="0"/>
        <w:ind w:firstLine="480"/>
        <w:jc w:val="both"/>
      </w:pPr>
      <w:r>
        <w:rPr>
          <w:b w:val="0"/>
          <w:sz w:val="24"/>
        </w:rPr>
        <w:t>Q4，动作需要几个独立的连续游戏控制变量。答案为“零维”“一维”或“多维”，并在多维时记录实际整数维数d。零维表示不以连续位移推进游戏，仍可监测多个姿态或力学特征并通过保持计时推进。对于复合关节动作，若各活动特征由规定的共同进度参数驱动且其耦合关系可校验，可以采用一维控制；若必须分别控制两个方向或两肢进度，则采用多维控制。不能仅通过求平均值把两个独立要求压缩成一维。</w:t>
      </w:r>
    </w:p>
    <w:p>
      <w:pPr>
        <w:keepNext w:val="0"/>
        <w:widowControl/>
        <w:spacing w:line="360" w:lineRule="auto" w:after="0" w:before="0"/>
        <w:ind w:firstLine="480"/>
        <w:jc w:val="both"/>
      </w:pPr>
      <w:r>
        <w:rPr>
          <w:b w:val="0"/>
          <w:sz w:val="24"/>
        </w:rPr>
        <w:t>Q5，肢体或通道之间采用何种协同关系。答案为“单侧或独立通道”“双侧同步”“对侧交替”“同侧或其他交替”“自定义组合”或“不适用”。交替选项同时记录组合成员及先后关系；对侧交替记录右上肢与左下肢、左上肢与右下肢等实际配对，不只保存一个类别名称。没有侧别或通道间关系的整体保持任务可选择不适用。</w:t>
      </w:r>
    </w:p>
    <w:p>
      <w:pPr>
        <w:keepNext w:val="0"/>
        <w:widowControl/>
        <w:spacing w:line="360" w:lineRule="auto" w:after="0" w:before="0"/>
        <w:ind w:firstLine="480"/>
        <w:jc w:val="both"/>
      </w:pPr>
      <w:r>
        <w:rPr>
          <w:b w:val="0"/>
          <w:sz w:val="24"/>
        </w:rPr>
        <w:t>Q6，一个有效动作是否要求返回。答案为“必须返回”“不要求返回”或“按子阶段分别规定”。第三项仅适用于具有子阶段结构的组合动作，并为每个子阶段保存独立答案。返回条件包括返回哪些通道、返回区间及确认条件。</w:t>
      </w:r>
    </w:p>
    <w:p>
      <w:pPr>
        <w:keepNext w:val="0"/>
        <w:widowControl/>
        <w:spacing w:line="360" w:lineRule="auto" w:after="0" w:before="0"/>
        <w:ind w:firstLine="480"/>
        <w:jc w:val="both"/>
      </w:pPr>
      <w:r>
        <w:rPr>
          <w:b w:val="0"/>
          <w:sz w:val="24"/>
        </w:rPr>
        <w:t>Q7，是否要求有效保持以及如何计时。答案为“无保持”“连续保持”“累计有效保持”或“按子阶段分别规定”，并从当前处方项目读取相应时长。保持型必须有正的保持要求；往复型也可包含连续保持。该问题把保持作为可叠加属性，不把所有包含保持的动作都归入姿态保持类。</w:t>
      </w:r>
    </w:p>
    <w:p>
      <w:pPr>
        <w:keepNext w:val="0"/>
        <w:widowControl/>
        <w:spacing w:line="360" w:lineRule="auto" w:after="0" w:before="0"/>
        <w:ind w:firstLine="480"/>
        <w:jc w:val="both"/>
      </w:pPr>
      <w:r>
        <w:rPr>
          <w:b w:val="0"/>
          <w:sz w:val="24"/>
        </w:rPr>
        <w:t>Q8，多个目标或阶段如何组织。答案为“单目标不适用”“同构镜像轮换”“异构阶段顺序”或“自定义有序与并行组合”。同构镜像轮换要求两侧子图仅在侧别及对应参数上不同，节点类型及完成语义对应；异构阶段顺序用于不同运动结构依次执行；自定义选项必须给出子阶段列表及连接关系。Q1为多个目标时，不允许使用单目标不适用。</w:t>
      </w:r>
    </w:p>
    <w:p>
      <w:pPr>
        <w:keepNext w:val="0"/>
        <w:widowControl/>
        <w:spacing w:line="360" w:lineRule="auto" w:after="0" w:before="0"/>
        <w:ind w:firstLine="480"/>
        <w:jc w:val="both"/>
      </w:pPr>
      <w:r>
        <w:rPr>
          <w:b w:val="0"/>
          <w:sz w:val="24"/>
        </w:rPr>
        <w:t>Q9，整个动作是否改变支撑体位。答案为“单一支撑体位”或“多支撑体位”，并记录实际体位以及转换顺序，例如仰卧、坐位、站立或四点支撑。支撑体位与Q1中的目标姿态分别记录：鸟狗式的两个对侧目标姿态可以始终处于同一个四点支撑体位。多体位转换需要生成准备确认节点及相应显示条件。</w:t>
      </w:r>
    </w:p>
    <w:p>
      <w:pPr>
        <w:keepNext w:val="0"/>
        <w:widowControl/>
        <w:spacing w:line="360" w:lineRule="auto" w:after="0" w:before="0"/>
        <w:ind w:firstLine="480"/>
        <w:jc w:val="both"/>
      </w:pPr>
      <w:r>
        <w:rPr>
          <w:b w:val="0"/>
          <w:sz w:val="24"/>
        </w:rPr>
        <w:t>上述九项为本实施例的问题模式。问题可以增补，但新增问题应同时声明答案域、判定条件及映射用途。角度方向、传感器节点、稳定阈值和剂量数值作为结构化参数附着在对应答案上，不将连续数值全部离散成大量类别。</w:t>
      </w:r>
    </w:p>
    <w:p>
      <w:pPr>
        <w:keepNext/>
        <w:widowControl/>
        <w:spacing w:line="360" w:lineRule="auto" w:after="0" w:before="0"/>
        <w:ind w:firstLine="0"/>
        <w:jc w:val="both"/>
      </w:pPr>
      <w:r>
        <w:rPr>
          <w:b/>
          <w:sz w:val="24"/>
        </w:rPr>
        <w:t>（三）答案编码与跨问题一致性</w:t>
      </w:r>
    </w:p>
    <w:p>
      <w:pPr>
        <w:keepNext w:val="0"/>
        <w:widowControl/>
        <w:spacing w:line="360" w:lineRule="auto" w:after="0" w:before="0"/>
        <w:ind w:firstLine="480"/>
        <w:jc w:val="both"/>
      </w:pPr>
      <w:r>
        <w:rPr>
          <w:b w:val="0"/>
          <w:sz w:val="24"/>
        </w:rPr>
        <w:t>如图2所示，对每个处方项目逐项确定属性答案，并保存答案来源和问题模式版本。将每个问题的选项按固定顺序排列，已选选项记为1，其余选项记为0；再按问题顺序拼接各编码块，得到该项目的答案向量</w:t>
      </w:r>
      <m:oMath>
        <m:sSub>
          <m:e>
            <m:r>
              <w:rPr>
                <w:rFonts w:ascii="Cambria Math" w:hAnsi="Cambria Math"/>
                <w:sz w:val="24"/>
              </w:rPr>
              <m:rPr>
                <m:sty m:val="b"/>
              </m:rPr>
              <m:t>z</m:t>
            </m:r>
          </m:e>
          <m:sub>
            <m:r>
              <w:rPr>
                <w:rFonts w:ascii="Cambria Math" w:hAnsi="Cambria Math"/>
                <w:sz w:val="24"/>
              </w:rPr>
              <m:t>i</m:t>
            </m:r>
          </m:sub>
        </m:sSub>
      </m:oMath>
      <w:r>
        <w:rPr>
          <w:b w:val="0"/>
          <w:sz w:val="24"/>
        </w:rPr>
        <w:t>。每个问题块恰有一个分量为1；实际控制维数、目标数量及子阶段数据另外保存，不用数字编码的大小表示类别相近程度。已有动作的结构答案可以复用，涉及当前剂量及动作变体的答案必须重新绑定和校验。</w:t>
      </w:r>
    </w:p>
    <w:p>
      <w:pPr>
        <w:keepNext w:val="0"/>
        <w:widowControl/>
        <w:spacing w:line="360" w:lineRule="auto" w:after="0" w:before="0"/>
        <w:ind w:firstLine="480"/>
        <w:jc w:val="both"/>
      </w:pPr>
      <w:r>
        <w:rPr>
          <w:b w:val="0"/>
          <w:sz w:val="24"/>
        </w:rPr>
        <w:t>系统逐项执行跨问题一致性检查；只有全部必需检查通过，才将该项目送入分类步骤。任一检查失败均返回具体冲突及其关联字段。</w:t>
      </w:r>
    </w:p>
    <w:p>
      <w:pPr>
        <w:keepNext w:val="0"/>
        <w:widowControl/>
        <w:spacing w:line="360" w:lineRule="auto" w:after="0" w:before="0"/>
        <w:ind w:firstLine="480"/>
        <w:jc w:val="both"/>
      </w:pPr>
      <w:r>
        <w:rPr>
          <w:b w:val="0"/>
          <w:sz w:val="24"/>
        </w:rPr>
        <w:t>例如，保持型要求零维位移控制并具有正保持时长；往复型要求必须返回；对侧交替要求至少两组有效配对及明确交替顺序；混合型或按子阶段规定的选项要求存在完整子阶段；多维控制需要相应数量的独立特征；同构镜像轮换需要两子图在节点和连接类型上相对应。关节参与与控制维数不作简单相等约束，因此“复合关节＋一维控制”在耦合规则完整时是合法组合。</w:t>
      </w:r>
    </w:p>
    <w:p>
      <w:pPr>
        <w:keepNext w:val="0"/>
        <w:widowControl/>
        <w:spacing w:line="360" w:lineRule="auto" w:after="0" w:before="0"/>
        <w:ind w:firstLine="480"/>
        <w:jc w:val="both"/>
      </w:pPr>
      <w:r>
        <w:rPr>
          <w:b w:val="0"/>
          <w:sz w:val="24"/>
        </w:rPr>
        <w:t>校验失败时返回具体冲突，例如“往复型却选择不要求返回”，由配置人员修正或补充动作描述后重新求答案。分类运行时保存命中规则及其输入字段，能够复核“为什么该动作被归入对侧交替类”。</w:t>
      </w:r>
    </w:p>
    <w:p>
      <w:pPr>
        <w:keepNext/>
        <w:widowControl/>
        <w:spacing w:line="360" w:lineRule="auto" w:after="0" w:before="0"/>
        <w:ind w:firstLine="0"/>
        <w:jc w:val="both"/>
      </w:pPr>
      <w:r>
        <w:rPr>
          <w:b/>
          <w:sz w:val="24"/>
        </w:rPr>
        <w:t>（四）主类别判定与附加属性保留</w:t>
      </w:r>
    </w:p>
    <w:p>
      <w:pPr>
        <w:keepNext w:val="0"/>
        <w:widowControl/>
        <w:spacing w:line="360" w:lineRule="auto" w:after="0" w:before="0"/>
        <w:ind w:firstLine="480"/>
        <w:jc w:val="both"/>
      </w:pPr>
      <w:r>
        <w:rPr>
          <w:b w:val="0"/>
          <w:sz w:val="24"/>
        </w:rPr>
        <w:t>如图3所示，按如下顺序匹配规则：首先，具有异构阶段顺序、混合执行结构或有序体位转换的动作归入顺序组合类；其次，符合对侧交替关系的归入对侧交替类；再次，符合双侧同步关系的归入双侧同步类；之后，保持型且不需要位移控制的归入姿态保持类；仍未命中的多维动作归入多通道轨迹类；一维且必须返回的归入单通道往返类；一维且不要求返回的归入单通道到达类；其余具有完整组合描述的动作归入组合扩展类。</w:t>
      </w:r>
    </w:p>
    <w:p>
      <w:pPr>
        <w:keepNext w:val="0"/>
        <w:widowControl/>
        <w:spacing w:line="360" w:lineRule="auto" w:after="0" w:before="0"/>
        <w:ind w:firstLine="480"/>
        <w:jc w:val="both"/>
      </w:pPr>
      <w:r>
        <w:rPr>
          <w:b w:val="0"/>
          <w:sz w:val="24"/>
        </w:rPr>
        <w:t>令第k条规则谓词为</w:t>
      </w:r>
      <m:oMath>
        <m:sSub>
          <m:e>
            <m:r>
              <w:rPr>
                <w:rFonts w:ascii="Cambria Math" w:hAnsi="Cambria Math"/>
                <w:sz w:val="24"/>
              </w:rPr>
              <m:t>ρ</m:t>
            </m:r>
          </m:e>
          <m:sub>
            <m:r>
              <w:rPr>
                <w:rFonts w:ascii="Cambria Math" w:hAnsi="Cambria Math"/>
                <w:sz w:val="24"/>
              </w:rPr>
              <m:t>k</m:t>
            </m:r>
          </m:sub>
        </m:sSub>
      </m:oMath>
      <w:r>
        <w:rPr>
          <w:b w:val="0"/>
          <w:sz w:val="24"/>
        </w:rPr>
        <w:t>，输入为第i个项目的答案向量</w:t>
      </w:r>
      <m:oMath>
        <m:sSub>
          <m:e>
            <m:r>
              <w:rPr>
                <w:rFonts w:ascii="Cambria Math" w:hAnsi="Cambria Math"/>
                <w:sz w:val="24"/>
              </w:rPr>
              <m:rPr>
                <m:sty m:val="b"/>
              </m:rPr>
              <m:t>z</m:t>
            </m:r>
          </m:e>
          <m:sub>
            <m:r>
              <w:rPr>
                <w:rFonts w:ascii="Cambria Math" w:hAnsi="Cambria Math"/>
                <w:sz w:val="24"/>
              </w:rPr>
              <m:t>i</m:t>
            </m:r>
          </m:sub>
        </m:sSub>
      </m:oMath>
      <w:r>
        <w:rPr>
          <w:b w:val="0"/>
          <w:sz w:val="24"/>
        </w:rPr>
        <w:t>，按上述顺序计算：</w:t>
      </w:r>
    </w:p>
    <w:p>
      <w:pPr>
        <w:keepLines/>
        <w:spacing w:line="276" w:lineRule="auto" w:before="120" w:after="120"/>
        <w:ind w:firstLine="0"/>
        <w:jc w:val="center"/>
      </w:pPr>
      <m:oMathPara>
        <m:oMath>
          <m:eqArr>
            <m:e>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r>
                <w:rPr>
                  <w:rFonts w:ascii="Cambria Math" w:hAnsi="Cambria Math"/>
                  <w:sz w:val="24"/>
                </w:rPr>
                <m:t>=</m:t>
              </m:r>
              <m:r>
                <w:rPr>
                  <w:rFonts w:ascii="Cambria Math" w:hAnsi="Cambria Math"/>
                  <w:sz w:val="24"/>
                </w:rPr>
                <m:rPr>
                  <m:sty m:val="p"/>
                  <m:sty m:val="p"/>
                </m:rPr>
                <m:t>min</m:t>
              </m:r>
              <m:r>
                <w:rPr>
                  <w:rFonts w:ascii="Cambria Math" w:hAnsi="Cambria Math"/>
                  <w:sz w:val="24"/>
                </w:rPr>
                <m:t>{k:</m:t>
              </m:r>
              <m:sSub>
                <m:e>
                  <m:r>
                    <w:rPr>
                      <w:rFonts w:ascii="Cambria Math" w:hAnsi="Cambria Math"/>
                      <w:sz w:val="24"/>
                    </w:rPr>
                    <m:t>ρ</m:t>
                  </m:r>
                </m:e>
                <m:sub>
                  <m:r>
                    <w:rPr>
                      <w:rFonts w:ascii="Cambria Math" w:hAnsi="Cambria Math"/>
                      <w:sz w:val="24"/>
                    </w:rPr>
                    <m:t>k</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)=1},</m:t>
              </m:r>
              <m:sSub>
                <m:e>
                  <m:r>
                    <w:rPr>
                      <w:rFonts w:ascii="Cambria Math" w:hAnsi="Cambria Math"/>
                      <w:sz w:val="24"/>
                    </w:rPr>
                    <m:t>c</m:t>
                  </m:r>
                </m:e>
                <m:sub>
                  <m:r>
                    <w:rPr>
                      <w:rFonts w:ascii="Cambria Math" w:hAnsi="Cambria Math"/>
                      <w:sz w:val="24"/>
                    </w:rPr>
                    <m:t>i</m:t>
                  </m:r>
                </m:sub>
              </m:sSub>
              <m:r>
                <w:rPr>
                  <w:rFonts w:ascii="Cambria Math" w:hAnsi="Cambria Math"/>
                  <w:sz w:val="24"/>
                </w:rPr>
                <m:t>=</m:t>
              </m:r>
              <m:sSub>
                <m:e>
                  <m:r>
                    <w:rPr>
                      <w:rFonts w:ascii="Cambria Math" w:hAnsi="Cambria Math"/>
                      <w:sz w:val="24"/>
                    </w:rPr>
                    <m:t>C</m:t>
                  </m:r>
                </m:e>
                <m:sub>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sub>
              </m:sSub>
              <m:r>
                <w:rPr>
                  <w:rFonts w:ascii="Cambria Math" w:hAnsi="Cambria Math"/>
                  <w:sz w:val="24"/>
                </w:rPr>
                <m:t>,</m:t>
              </m:r>
            </m:e>
            <m:e>
              <m:sSub>
                <m:e>
                  <m:r>
                    <w:rPr>
                      <w:rFonts w:ascii="Cambria Math" w:hAnsi="Cambria Math"/>
                      <w:sz w:val="24"/>
                    </w:rPr>
                    <m:rPr>
                      <m:scr m:val="script"/>
                    </m:rPr>
                    <m:t>L</m:t>
                  </m:r>
                </m:e>
                <m:sub>
                  <m:r>
                    <w:rPr>
                      <w:rFonts w:ascii="Cambria Math" w:hAnsi="Cambria Math"/>
                      <w:sz w:val="24"/>
                    </w:rPr>
                    <m:t>i</m:t>
                  </m:r>
                </m:sub>
              </m:sSub>
              <m:r>
                <w:rPr>
                  <w:rFonts w:ascii="Cambria Math" w:hAnsi="Cambria Math"/>
                  <w:sz w:val="24"/>
                </w:rPr>
                <m:t>=</m:t>
              </m:r>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λ</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eqArr>
        </m:oMath>
      </m:oMathPara>
      <w:r>
        <w:rPr>
          <w:sz w:val="22"/>
        </w:rPr>
        <w:t xml:space="preserve">  （3）</w:t>
      </w:r>
    </w:p>
    <w:p>
      <w:pPr>
        <w:keepNext w:val="0"/>
        <w:widowControl/>
        <w:spacing w:line="360" w:lineRule="auto" w:after="0" w:before="0"/>
        <w:ind w:firstLine="480"/>
        <w:jc w:val="both"/>
      </w:pPr>
      <w:r>
        <w:rPr>
          <w:b w:val="0"/>
          <w:sz w:val="24"/>
        </w:rPr>
        <w:t>其中</w:t>
      </w:r>
      <m:oMath>
        <m:sSub>
          <m:e>
            <m:r>
              <w:rPr>
                <w:rFonts w:ascii="Cambria Math" w:hAnsi="Cambria Math"/>
                <w:sz w:val="24"/>
              </w:rPr>
              <m:t>c</m:t>
            </m:r>
          </m:e>
          <m:sub>
            <m:r>
              <w:rPr>
                <w:rFonts w:ascii="Cambria Math" w:hAnsi="Cambria Math"/>
                <w:sz w:val="24"/>
              </w:rPr>
              <m:t>i</m:t>
            </m:r>
          </m:sub>
        </m:sSub>
      </m:oMath>
      <w:r>
        <w:rPr>
          <w:b w:val="0"/>
          <w:sz w:val="24"/>
        </w:rPr>
        <w:t>为主类别，C为按优先顺序排列的类别表；</w:t>
      </w:r>
      <m:oMath>
        <m:sSub>
          <m:e>
            <m:r>
              <w:rPr>
                <w:rFonts w:ascii="Cambria Math" w:hAnsi="Cambria Math"/>
                <w:sz w:val="24"/>
              </w:rPr>
              <m:rPr>
                <m:scr m:val="script"/>
              </m:rPr>
              <m:t>L</m:t>
            </m:r>
          </m:e>
          <m:sub>
            <m:r>
              <w:rPr>
                <w:rFonts w:ascii="Cambria Math" w:hAnsi="Cambria Math"/>
                <w:sz w:val="24"/>
              </w:rPr>
              <m:t>i</m:t>
            </m:r>
          </m:sub>
        </m:sSub>
      </m:oMath>
      <w:r>
        <w:rPr>
          <w:b w:val="0"/>
          <w:sz w:val="24"/>
        </w:rPr>
        <w:t>为附加属性集合，</w:t>
      </w:r>
      <m:oMath>
        <m:sSub>
          <m:e>
            <m:r>
              <w:rPr>
                <w:rFonts w:ascii="Cambria Math" w:hAnsi="Cambria Math"/>
                <w:sz w:val="24"/>
              </w:rPr>
              <m:t>a</m:t>
            </m:r>
          </m:e>
          <m:sub>
            <m:r>
              <w:rPr>
                <w:rFonts w:ascii="Cambria Math" w:hAnsi="Cambria Math"/>
                <w:sz w:val="24"/>
              </w:rPr>
              <m:t>ij</m:t>
            </m:r>
          </m:sub>
        </m:sSub>
      </m:oMath>
      <w:r>
        <w:rPr>
          <w:b w:val="0"/>
          <w:sz w:val="24"/>
        </w:rPr>
        <w:t>为第i个项目对第j个问题的答案，</w:t>
      </w:r>
      <m:oMath>
        <m:sSub>
          <m:e>
            <m:r>
              <w:rPr>
                <w:rFonts w:ascii="Cambria Math" w:hAnsi="Cambria Math"/>
                <w:sz w:val="24"/>
              </w:rPr>
              <m:t>λ</m:t>
            </m:r>
          </m:e>
          <m:sub>
            <m:r>
              <w:rPr>
                <w:rFonts w:ascii="Cambria Math" w:hAnsi="Cambria Math"/>
                <w:sz w:val="24"/>
              </w:rPr>
              <m:t>j</m:t>
            </m:r>
          </m:sub>
        </m:sSub>
      </m:oMath>
      <w:r>
        <w:rPr>
          <w:b w:val="0"/>
          <w:sz w:val="24"/>
        </w:rPr>
        <w:t>为该答案生成附加属性的规则，J为问题总数。最后一条规则只接收通过登记及一致性校验的其余有效描述，输出组合扩展类及其子结构；它不表示存在任意适配的游戏。分类成功与模板能够执行是两个分别检查的条件。</w:t>
      </w:r>
    </w:p>
    <w:p>
      <w:pPr>
        <w:keepNext w:val="0"/>
        <w:widowControl/>
        <w:spacing w:line="360" w:lineRule="auto" w:after="0" w:before="0"/>
        <w:ind w:firstLine="480"/>
        <w:jc w:val="both"/>
      </w:pPr>
      <w:r>
        <w:rPr>
          <w:b w:val="0"/>
          <w:sz w:val="24"/>
        </w:rPr>
        <w:t>分类优先顺序使同一动作获得稳定的主类别；保留全部附加属性则防止优先规则遮蔽其他要求。例如，“对侧交替＋多维控制＋连续保持＋躯干稳定”仍保留四项要求，主类别为对侧交替类；“双侧同步＋保持”仍生成保持节点。单通道到达类与组合扩展类用于覆盖没有返回或包含自定义组合的有效动作，使系统无需把它们强行归入往返类。</w:t>
      </w:r>
    </w:p>
    <w:p>
      <w:pPr>
        <w:keepNext w:val="0"/>
        <w:widowControl/>
        <w:spacing w:line="360" w:lineRule="auto" w:after="0" w:before="0"/>
        <w:ind w:firstLine="480"/>
        <w:jc w:val="both"/>
      </w:pPr>
      <w:r>
        <w:rPr>
          <w:b w:val="0"/>
          <w:sz w:val="24"/>
        </w:rPr>
        <w:t>顺序组合类与组合扩展类对有限子动作递归求答案；引用图不得包含自引用循环。叶节点必须落在已有可表达的基础控制结构中，或者显式登记新的原语需求。终止条件为全部有限子动作完成登记；存在未实现原语时仍输出分类及缺失项，但不启动游戏执行。</w:t>
      </w:r>
    </w:p>
    <w:p>
      <w:pPr>
        <w:keepNext/>
        <w:widowControl/>
        <w:spacing w:line="360" w:lineRule="auto" w:after="0" w:before="0"/>
        <w:ind w:firstLine="0"/>
        <w:jc w:val="both"/>
      </w:pPr>
      <w:r>
        <w:rPr>
          <w:b/>
          <w:sz w:val="24"/>
        </w:rPr>
        <w:t>（五）由答案生成接口需求与训练原语</w:t>
      </w:r>
    </w:p>
    <w:p>
      <w:pPr>
        <w:keepNext w:val="0"/>
        <w:widowControl/>
        <w:spacing w:line="360" w:lineRule="auto" w:after="0" w:before="0"/>
        <w:ind w:firstLine="480"/>
        <w:jc w:val="both"/>
      </w:pPr>
      <w:r>
        <w:rPr>
          <w:b w:val="0"/>
          <w:sz w:val="24"/>
        </w:rPr>
        <w:t>主类别用于检索相应模板族；真正的适配条件来自全部答案及处方约束。系统汇集各问题答案产生的接口需求，再加入动作监测及本项目剂量所需的能力，形成完整需求清单。重复需求合并，全部必需条件保留，并记录每项需求来自哪个问题或处方字段。</w:t>
      </w:r>
    </w:p>
    <w:p>
      <w:pPr>
        <w:keepNext w:val="0"/>
        <w:widowControl/>
        <w:spacing w:line="360" w:lineRule="auto" w:after="0" w:before="0"/>
        <w:ind w:firstLine="480"/>
        <w:jc w:val="both"/>
      </w:pPr>
      <w:r>
        <w:rPr>
          <w:b w:val="0"/>
          <w:sz w:val="24"/>
        </w:rPr>
        <w:t>例如，Q4为多维时产生对应数量及类型的控制槽位需求；Q5为对侧交替时产生配对及交替调度需求；Q6为必须返回时产生返回确认需求；Q7为连续保持时产生连续计时及中断清零需求；Q9为多体位时产生体位确认需求。此过程不允许用一个加权分类分数抵消某个必需能力的缺失。</w:t>
      </w:r>
    </w:p>
    <w:p>
      <w:pPr>
        <w:keepNext w:val="0"/>
        <w:widowControl/>
        <w:spacing w:line="360" w:lineRule="auto" w:after="0" w:before="0"/>
        <w:ind w:firstLine="480"/>
        <w:jc w:val="both"/>
      </w:pPr>
      <w:r>
        <w:rPr>
          <w:b w:val="0"/>
          <w:sz w:val="24"/>
        </w:rPr>
        <w:t>训练原语图保存状态节点、节点之间的连接关系，以及节点和连接上的可计算条件。节点包括准备READY、到达REACH、保持HOLD、返回RETURN、退出EXIT、休息REST及结束END。每个节点记录输入通道、进入条件、完成条件、退出条件及必需约束。</w:t>
      </w:r>
    </w:p>
    <w:p>
      <w:pPr>
        <w:keepNext w:val="0"/>
        <w:widowControl/>
        <w:spacing w:line="360" w:lineRule="auto" w:after="0" w:before="0"/>
        <w:ind w:firstLine="480"/>
        <w:jc w:val="both"/>
      </w:pPr>
      <w:r>
        <w:rPr>
          <w:b w:val="0"/>
          <w:sz w:val="24"/>
        </w:rPr>
        <w:t>如图4所示，采用顺序Seq、并行联合Join、交替Alt及有限重复Repeat算子组合原语。先根据答案生成一次有效动作的主体结构，再在主体前加入准备确认，在主体完成后加入有效事件提交，并按本项目规定的每组次数、组数和组间休息进行调度。纯时长任务可采用有效时长作为完成条件。对于镜像交替任务，分别记录每个组合的次数，不把两组合的数量当作同一个总次数后随意分配。</w:t>
      </w:r>
    </w:p>
    <w:p>
      <w:pPr>
        <w:keepNext w:val="0"/>
        <w:widowControl/>
        <w:spacing w:line="360" w:lineRule="auto" w:after="0" w:before="0"/>
        <w:ind w:firstLine="480"/>
        <w:jc w:val="both"/>
      </w:pPr>
      <w:r>
        <w:rPr>
          <w:b w:val="0"/>
          <w:sz w:val="24"/>
        </w:rPr>
        <w:t>单通道往返主体为Seq(REACH,HOLD,RETURN)，无保持时跳过HOLD；单通道到达主体为Seq(REACH,HOLD,EXIT)，不强加返回；纯保持主体为Seq(HOLD,EXIT)。对侧交替主体由两个组合子图和Alt算子形成，每个组合内部采用Join联合检查所有活动通道，并在同一个HOLD节点中计时。两肢分别在不同时间保持达标不构成共同保持。</w:t>
      </w:r>
    </w:p>
    <w:p>
      <w:pPr>
        <w:keepNext w:val="0"/>
        <w:widowControl/>
        <w:spacing w:line="360" w:lineRule="auto" w:after="0" w:before="0"/>
        <w:ind w:firstLine="480"/>
        <w:jc w:val="both"/>
      </w:pPr>
      <w:r>
        <w:rPr>
          <w:b w:val="0"/>
          <w:sz w:val="24"/>
        </w:rPr>
        <w:t>顺序组合主体由子图按给定先后关系连接，体位改变时插入READY确认。对多个必须沿规定路径通过的目标，生成有序REACH节点及路径走廊条件，而不是仅检查最后终点。图结构和条件均由答案及处方参数生成，游戏主题仅使用该结构提供的控制量及事件。</w:t>
      </w:r>
    </w:p>
    <w:p>
      <w:pPr>
        <w:keepNext/>
        <w:widowControl/>
        <w:spacing w:line="360" w:lineRule="auto" w:after="0" w:before="0"/>
        <w:ind w:firstLine="0"/>
        <w:jc w:val="both"/>
      </w:pPr>
      <w:r>
        <w:rPr>
          <w:b/>
          <w:sz w:val="24"/>
        </w:rPr>
        <w:t>（六）问答分类的具体示例</w:t>
      </w:r>
    </w:p>
    <w:p>
      <w:pPr>
        <w:keepNext w:val="0"/>
        <w:widowControl/>
        <w:spacing w:line="360" w:lineRule="auto" w:after="0" w:before="0"/>
        <w:ind w:firstLine="480"/>
        <w:jc w:val="both"/>
      </w:pPr>
      <w:r>
        <w:rPr>
          <w:b w:val="0"/>
          <w:sz w:val="24"/>
        </w:rPr>
        <w:t>鸟狗式示例的答案为：Q1多个目标姿态；Q2往复型；Q3复合关节；Q4多维，本例为两个独立活动通道；Q5对侧交替；Q6必须返回；Q7连续保持；Q8同构镜像轮换；Q9单一四点支撑体位。其主类别为对侧交替类，保留双通道、连续保持、返回确认及稳定约束；据此生成“组合内联合到达—共同保持—共同返回，组合间交替”的结构。</w:t>
      </w:r>
    </w:p>
    <w:p>
      <w:pPr>
        <w:keepNext w:val="0"/>
        <w:widowControl/>
        <w:spacing w:line="360" w:lineRule="auto" w:after="0" w:before="0"/>
        <w:ind w:firstLine="480"/>
        <w:jc w:val="both"/>
      </w:pPr>
      <w:r>
        <w:rPr>
          <w:b w:val="0"/>
          <w:sz w:val="24"/>
        </w:rPr>
        <w:t>死虫式采用相同的对侧交替组织时，可以得到相同主类别及原语拓扑；Q9的体位为仰卧，活动特征、起始值、稳定条件和保持剂量分别从该项目读取。两动作共享的是控制结构，不共享未经确认的解剖角度或支撑条件。</w:t>
      </w:r>
    </w:p>
    <w:p>
      <w:pPr>
        <w:keepNext w:val="0"/>
        <w:widowControl/>
        <w:spacing w:line="360" w:lineRule="auto" w:after="0" w:before="0"/>
        <w:ind w:firstLine="480"/>
        <w:jc w:val="both"/>
      </w:pPr>
      <w:r>
        <w:rPr>
          <w:b w:val="0"/>
          <w:sz w:val="24"/>
        </w:rPr>
        <w:t>坐位单侧伸膝示例为：Q1一个目标姿态；Q2往复型；Q3单关节；Q4一维；Q5单侧或独立通道；Q6必须返回；Q7连续保持；Q8单目标不适用；Q9单一坐位体位。其主类别为单通道往返类，可适配升降或单轨运输模板。与鸟狗式相比，差异由问题答案逐项产生，可定位到具体槽位及节点要求。</w:t>
      </w:r>
    </w:p>
    <w:p>
      <w:pPr>
        <w:keepNext w:val="0"/>
        <w:widowControl/>
        <w:spacing w:line="360" w:lineRule="auto" w:after="0" w:before="0"/>
        <w:ind w:firstLine="480"/>
        <w:jc w:val="both"/>
      </w:pPr>
      <w:r>
        <w:rPr>
          <w:b w:val="0"/>
          <w:sz w:val="24"/>
        </w:rPr>
        <w:t>例如，一个复合关节动作若被配置为沿唯一参数化轨迹完成，且各关节之间的耦合偏差可被测量并检查，其Q3可以为复合关节、Q4为一维，进而复用单通道模板；若两个肢体必须独立完成不同进度，则Q4必须为多维，不能仅因希望复用简单游戏而改写答案。图5给出上述分类与复用关系。</w:t>
      </w:r>
    </w:p>
    <w:p>
      <w:pPr>
        <w:keepNext/>
        <w:widowControl/>
        <w:spacing w:line="360" w:lineRule="auto" w:after="0" w:before="0"/>
        <w:ind w:firstLine="0"/>
        <w:jc w:val="both"/>
      </w:pPr>
      <w:r>
        <w:rPr>
          <w:b/>
          <w:sz w:val="24"/>
        </w:rPr>
        <w:t>（七）动作类别与游戏类型的对应关系</w:t>
      </w:r>
    </w:p>
    <w:p>
      <w:pPr>
        <w:keepNext w:val="0"/>
        <w:widowControl/>
        <w:spacing w:line="360" w:lineRule="auto" w:after="0" w:before="0"/>
        <w:ind w:firstLine="480"/>
        <w:jc w:val="both"/>
      </w:pPr>
      <w:r>
        <w:rPr>
          <w:b w:val="0"/>
          <w:sz w:val="24"/>
        </w:rPr>
        <w:t>本实施例设置以下动作类别及对应游戏类型。动作类别描述控制与完成结构，游戏类型描述可复用的交互机制；同一类别可以匹配多个游戏主题，最终仍按完整接口需求检查兼容性。</w:t>
      </w:r>
    </w:p>
    <w:p>
      <w:pPr>
        <w:keepNext w:val="0"/>
        <w:widowControl/>
        <w:spacing w:line="360" w:lineRule="auto" w:after="0" w:before="0"/>
        <w:ind w:firstLine="480"/>
        <w:jc w:val="both"/>
      </w:pPr>
      <w:r>
        <w:rPr>
          <w:b w:val="0"/>
          <w:sz w:val="24"/>
        </w:rPr>
        <w:t>单通道往返类，对应“单轨运输”或“升降控制”类型游戏，例如“升降运输”。一个活动通道控制对象沿单一轨道移动，完成目标、保持及返回条件后提交一次任务，适用于满足该控制结构的伸膝、肩屈曲或颈部单侧转动等动作。</w:t>
      </w:r>
    </w:p>
    <w:p>
      <w:pPr>
        <w:keepNext w:val="0"/>
        <w:widowControl/>
        <w:spacing w:line="360" w:lineRule="auto" w:after="0" w:before="0"/>
        <w:ind w:firstLine="480"/>
        <w:jc w:val="both"/>
      </w:pPr>
      <w:r>
        <w:rPr>
          <w:b w:val="0"/>
          <w:sz w:val="24"/>
        </w:rPr>
        <w:t>多通道轨迹类，对应“路径引导”或“多轴操控”类型游戏。多个独立控制量分别驱动不同方向或对象，并按规定路径、阶段顺序及通道约束确认完成，不能仅凭对象接近终点结算。</w:t>
      </w:r>
    </w:p>
    <w:p>
      <w:pPr>
        <w:keepNext w:val="0"/>
        <w:widowControl/>
        <w:spacing w:line="360" w:lineRule="auto" w:after="0" w:before="0"/>
        <w:ind w:firstLine="480"/>
        <w:jc w:val="both"/>
      </w:pPr>
      <w:r>
        <w:rPr>
          <w:b w:val="0"/>
          <w:sz w:val="24"/>
        </w:rPr>
        <w:t>姿态保持类，对应“稳定充能”类型游戏。全部必需姿态条件满足时累计有效保持，充能过程体现处方时长；连续保持任务在条件中断时按要求清零。</w:t>
      </w:r>
    </w:p>
    <w:p>
      <w:pPr>
        <w:keepNext w:val="0"/>
        <w:widowControl/>
        <w:spacing w:line="360" w:lineRule="auto" w:after="0" w:before="0"/>
        <w:ind w:firstLine="480"/>
        <w:jc w:val="both"/>
      </w:pPr>
      <w:r>
        <w:rPr>
          <w:b w:val="0"/>
          <w:sz w:val="24"/>
        </w:rPr>
        <w:t>双侧同步类，对应“双通道共同运输”类型游戏。左右活动通道共同驱动运输过程，同时检查各自目标与同步条件，任一侧未达标时不能以另一侧的进度替代。</w:t>
      </w:r>
    </w:p>
    <w:p>
      <w:pPr>
        <w:keepNext w:val="0"/>
        <w:widowControl/>
        <w:spacing w:line="360" w:lineRule="auto" w:after="0" w:before="0"/>
        <w:ind w:firstLine="480"/>
        <w:jc w:val="both"/>
      </w:pPr>
      <w:r>
        <w:rPr>
          <w:b w:val="0"/>
          <w:sz w:val="24"/>
        </w:rPr>
        <w:t>对侧交替类，对应“交替双通道协作”类型游戏，例如“交替双通道运输”。一个对侧组合中的两个活动通道联合完成，到达、保持及返回确认后切换另一组合；鸟狗式和死虫式可在体位及约束兼容时复用该类游戏。</w:t>
      </w:r>
    </w:p>
    <w:p>
      <w:pPr>
        <w:keepNext w:val="0"/>
        <w:widowControl/>
        <w:spacing w:line="360" w:lineRule="auto" w:after="0" w:before="0"/>
        <w:ind w:firstLine="480"/>
        <w:jc w:val="both"/>
      </w:pPr>
      <w:r>
        <w:rPr>
          <w:b w:val="0"/>
          <w:sz w:val="24"/>
        </w:rPr>
        <w:t>单通道到达类，对应“单次到达”或“目标触达”类型游戏。单一通道驱动对象到达规定目标，并在保持及退出条件满足后提交任务；处方未规定返回时，不额外附加往返要求。</w:t>
      </w:r>
    </w:p>
    <w:p>
      <w:pPr>
        <w:keepNext w:val="0"/>
        <w:widowControl/>
        <w:spacing w:line="360" w:lineRule="auto" w:after="0" w:before="0"/>
        <w:ind w:firstLine="480"/>
        <w:jc w:val="both"/>
      </w:pPr>
      <w:r>
        <w:rPr>
          <w:b w:val="0"/>
          <w:sz w:val="24"/>
        </w:rPr>
        <w:t>顺序组合类，对应“顺序任务”或“组合闯关”类型游戏。按动作内部规定的子阶段顺序串接前述基础游戏机制，并在体位转换时插入准备确认。该类别针对一个动作的内部结构；一份处方包含多个独立动作时，由处方级任务图编排，不因此将所有动作改为顺序组合类。</w:t>
      </w:r>
    </w:p>
    <w:p>
      <w:pPr>
        <w:keepNext w:val="0"/>
        <w:widowControl/>
        <w:spacing w:line="360" w:lineRule="auto" w:after="0" w:before="0"/>
        <w:ind w:firstLine="480"/>
        <w:jc w:val="both"/>
      </w:pPr>
      <w:r>
        <w:rPr>
          <w:b w:val="0"/>
          <w:sz w:val="24"/>
        </w:rPr>
        <w:t>组合扩展类，对应“自定义组合任务”类型游戏。依据已登记的有序、并行及交替关系组合基础机制；所需原语或接口尚未实现时，保留类别名称及扩展需求，完成兼容性检查后方可执行。</w:t>
      </w:r>
    </w:p>
    <w:p>
      <w:pPr>
        <w:keepNext w:val="0"/>
        <w:widowControl/>
        <w:spacing w:line="360" w:lineRule="auto" w:after="0" w:before="0"/>
        <w:ind w:firstLine="480"/>
        <w:jc w:val="both"/>
      </w:pPr>
      <w:r>
        <w:rPr>
          <w:b w:val="0"/>
          <w:sz w:val="24"/>
        </w:rPr>
        <w:t>上述名称同时保存在动作分类表与游戏模板目录中。系统先对处方内各动作分别分类并选择游戏类型，再把各动作对应的目标范围、次数、组数、保持与休息等剂量写入游戏任务，最后按照处方规定的顺序或轮次组装整份处方的游戏流程。</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将动作需求通道与模板槽位建立二分图；只有数据类型及控制含义兼容的通道和槽位之间才建立连接。求取覆盖全部需求通道的匹配，每个需求通道必须绑定一个槽位，每个槽位同时最多接收一个活动通道。不同阶段复用槽位须由模板明确支持，基础实现按最大并发需求分配。该检查同时避免通道遗漏、类型冲突及两个同时活动的通道争用同一槽位。</w:t>
      </w:r>
    </w:p>
    <w:p>
      <w:pPr>
        <w:keepNext w:val="0"/>
        <w:widowControl/>
        <w:spacing w:line="360" w:lineRule="auto" w:after="0" w:before="0"/>
        <w:ind w:firstLine="480"/>
        <w:jc w:val="both"/>
      </w:pPr>
      <w:r>
        <w:rPr>
          <w:b w:val="0"/>
          <w:sz w:val="24"/>
        </w:rPr>
        <w:t>再逐项检查节点、协同、监测、体位及计时条件。仅在通道绑定可行且所有必需条件均满足时，将项目i与模板g的兼容标志</w:t>
      </w:r>
      <m:oMath>
        <m:sSub>
          <m:e>
            <m:r>
              <w:rPr>
                <w:rFonts w:ascii="Cambria Math" w:hAnsi="Cambria Math"/>
                <w:sz w:val="24"/>
              </w:rPr>
              <m:t>K</m:t>
            </m:r>
          </m:e>
          <m:sub>
            <m:r>
              <w:rPr>
                <w:rFonts w:ascii="Cambria Math" w:hAnsi="Cambria Math"/>
                <w:sz w:val="24"/>
              </w:rPr>
              <m:t>ig</m:t>
            </m:r>
          </m:sub>
        </m:sSub>
      </m:oMath>
      <w:r>
        <w:rPr>
          <w:b w:val="0"/>
          <w:sz w:val="24"/>
        </w:rPr>
        <w:t>记为1；否则记为0，并保存未满足的条件。</w:t>
      </w:r>
    </w:p>
    <w:p>
      <w:pPr>
        <w:keepNext w:val="0"/>
        <w:widowControl/>
        <w:spacing w:line="360" w:lineRule="auto" w:after="0" w:before="0"/>
        <w:ind w:firstLine="480"/>
        <w:jc w:val="both"/>
      </w:pPr>
      <w:r>
        <w:rPr>
          <w:b w:val="0"/>
          <w:sz w:val="24"/>
        </w:rPr>
        <w:t>多项目处方的模板选择可以联合求解。令</w:t>
      </w:r>
      <m:oMath>
        <m:sSub>
          <m:e>
            <m:r>
              <w:rPr>
                <w:rFonts w:ascii="Cambria Math" w:hAnsi="Cambria Math"/>
                <w:sz w:val="24"/>
              </w:rPr>
              <m:t>x</m:t>
            </m:r>
          </m:e>
          <m:sub>
            <m:r>
              <w:rPr>
                <w:rFonts w:ascii="Cambria Math" w:hAnsi="Cambria Math"/>
                <w:sz w:val="24"/>
              </w:rPr>
              <m:t>ig</m:t>
            </m:r>
          </m:sub>
        </m:sSub>
      </m:oMath>
      <w:r>
        <w:rPr>
          <w:b w:val="0"/>
          <w:sz w:val="24"/>
        </w:rPr>
        <w:t>表示是否为项目i选择模板g，</w:t>
      </w:r>
      <m:oMath>
        <m:sSub>
          <m:e>
            <m:r>
              <w:rPr>
                <w:rFonts w:ascii="Cambria Math" w:hAnsi="Cambria Math"/>
                <w:sz w:val="24"/>
              </w:rPr>
              <m:t>c</m:t>
            </m:r>
          </m:e>
          <m:sub>
            <m:r>
              <w:rPr>
                <w:rFonts w:ascii="Cambria Math" w:hAnsi="Cambria Math"/>
                <w:sz w:val="24"/>
              </w:rPr>
              <m:t>ig</m:t>
            </m:r>
          </m:sub>
        </m:sSub>
      </m:oMath>
      <w:r>
        <w:rPr>
          <w:b w:val="0"/>
          <w:sz w:val="24"/>
        </w:rPr>
        <w:t>表示未使用槽位及额外接口适配的非负代价，</w:t>
      </w:r>
      <m:oMath>
        <m:sSub>
          <m:e>
            <m:r>
              <w:rPr>
                <w:rFonts w:ascii="Cambria Math" w:hAnsi="Cambria Math"/>
                <w:sz w:val="24"/>
              </w:rPr>
              <m:t>s</m:t>
            </m:r>
          </m:e>
          <m:sub>
            <m:r>
              <w:rPr>
                <w:rFonts w:ascii="Cambria Math" w:hAnsi="Cambria Math"/>
                <w:sz w:val="24"/>
              </w:rPr>
              <m:t>gh</m:t>
            </m:r>
          </m:sub>
        </m:sSub>
      </m:oMath>
      <w:r>
        <w:rPr>
          <w:b w:val="0"/>
          <w:sz w:val="24"/>
        </w:rPr>
        <w:t>表示从模板g切换到h的非负代价，λ为切换代价权重，则在医生确认的项目邻接集合</w:t>
      </w:r>
      <m:oMath>
        <m:sSub>
          <m:e>
            <m:r>
              <w:rPr>
                <w:rFonts w:ascii="Cambria Math" w:hAnsi="Cambria Math"/>
                <w:sz w:val="24"/>
              </w:rPr>
              <m:t>E</m:t>
            </m:r>
          </m:e>
          <m:sub>
            <m:r>
              <w:rPr>
                <w:rFonts w:ascii="Cambria Math" w:hAnsi="Cambria Math"/>
                <w:sz w:val="24"/>
              </w:rPr>
              <m:t>P</m:t>
            </m:r>
          </m:sub>
        </m:sSub>
      </m:oMath>
      <w:r>
        <w:rPr>
          <w:b w:val="0"/>
          <w:sz w:val="24"/>
        </w:rPr>
        <w:t>上求：</w:t>
      </w:r>
    </w:p>
    <w:p>
      <w:pPr>
        <w:keepLines/>
        <w:spacing w:line="276" w:lineRule="auto" w:before="120" w:after="120"/>
        <w:ind w:firstLine="0"/>
        <w:jc w:val="center"/>
      </w:pPr>
      <m:oMathPara>
        <m:oMath>
          <m:sSub>
            <m:e>
              <m:r>
                <w:rPr>
                  <w:rFonts w:ascii="Cambria Math" w:hAnsi="Cambria Math"/>
                  <w:sz w:val="24"/>
                </w:rPr>
                <m:rPr>
                  <m:sty m:val="p"/>
                  <m:sty m:val="p"/>
                </m:rPr>
                <m:t>min</m:t>
              </m:r>
            </m:e>
            <m:sub>
              <m:r>
                <w:rPr>
                  <w:rFonts w:ascii="Cambria Math" w:hAnsi="Cambria Math"/>
                  <w:sz w:val="24"/>
                </w:rPr>
                <m:t>x</m:t>
              </m:r>
            </m:sub>
          </m:sSub>
          <m:r>
            <w:rPr>
              <w:rFonts w:ascii="Cambria Math" w:hAnsi="Cambria Math"/>
              <w:sz w:val="24"/>
            </w:rPr>
            <m:rPr>
              <m:sty m:val="p"/>
            </m:rPr>
            <m:t> </m:t>
          </m:r>
          <m:nary>
            <m:naryPr>
              <m:chr m:val="∑"/>
              <m:limLoc m:val="undOvr"/>
              <m:grow m:val="1"/>
              <m:subHide m:val="off"/>
              <m:supHide m:val="on"/>
            </m:naryPr>
            <m:sub>
              <m:r>
                <w:rPr>
                  <w:rFonts w:ascii="Cambria Math" w:hAnsi="Cambria Math"/>
                  <w:sz w:val="24"/>
                </w:rPr>
                <m:t>i,g</m:t>
              </m:r>
            </m:sub>
            <m:sup/>
            <m:e>
              <m:sSub>
                <m:e>
                  <m:r>
                    <w:rPr>
                      <w:rFonts w:ascii="Cambria Math" w:hAnsi="Cambria Math"/>
                      <w:sz w:val="24"/>
                    </w:rPr>
                    <m:t>c</m:t>
                  </m:r>
                </m:e>
                <m:sub>
                  <m:r>
                    <w:rPr>
                      <w:rFonts w:ascii="Cambria Math" w:hAnsi="Cambria Math"/>
                      <w:sz w:val="24"/>
                    </w:rPr>
                    <m:t>ig</m:t>
                  </m:r>
                </m:sub>
              </m:sSub>
            </m:e>
          </m:nary>
          <m:sSub>
            <m:e>
              <m:r>
                <w:rPr>
                  <w:rFonts w:ascii="Cambria Math" w:hAnsi="Cambria Math"/>
                  <w:sz w:val="24"/>
                </w:rPr>
                <m:t>x</m:t>
              </m:r>
            </m:e>
            <m:sub>
              <m:r>
                <w:rPr>
                  <w:rFonts w:ascii="Cambria Math" w:hAnsi="Cambria Math"/>
                  <w:sz w:val="24"/>
                </w:rPr>
                <m:t>ig</m:t>
              </m:r>
            </m:sub>
          </m:sSub>
          <m:r>
            <w:rPr>
              <w:rFonts w:ascii="Cambria Math" w:hAnsi="Cambria Math"/>
              <w:sz w:val="24"/>
            </w:rPr>
            <m:t>+λ</m:t>
          </m:r>
          <m:nary>
            <m:naryPr>
              <m:chr m:val="∑"/>
              <m:limLoc m:val="undOvr"/>
              <m:grow m:val="1"/>
              <m:subHide m:val="off"/>
              <m:supHide m:val="on"/>
            </m:naryPr>
            <m:sub>
              <m:r>
                <w:rPr>
                  <w:rFonts w:ascii="Cambria Math" w:hAnsi="Cambria Math"/>
                  <w:sz w:val="24"/>
                </w:rPr>
                <m:t>(i,j)∈</m:t>
              </m:r>
              <m:sSub>
                <m:e>
                  <m:r>
                    <w:rPr>
                      <w:rFonts w:ascii="Cambria Math" w:hAnsi="Cambria Math"/>
                      <w:sz w:val="24"/>
                    </w:rPr>
                    <m:t>E</m:t>
                  </m:r>
                </m:e>
                <m:sub>
                  <m:r>
                    <w:rPr>
                      <w:rFonts w:ascii="Cambria Math" w:hAnsi="Cambria Math"/>
                      <w:sz w:val="24"/>
                    </w:rPr>
                    <m:t>P</m:t>
                  </m:r>
                </m:sub>
              </m:sSub>
            </m:sub>
            <m:sup/>
            <m:e>
              <m:nary>
                <m:naryPr>
                  <m:chr m:val="∑"/>
                  <m:limLoc m:val="undOvr"/>
                  <m:grow m:val="1"/>
                  <m:subHide m:val="off"/>
                  <m:supHide m:val="on"/>
                </m:naryPr>
                <m:sub>
                  <m:r>
                    <w:rPr>
                      <w:rFonts w:ascii="Cambria Math" w:hAnsi="Cambria Math"/>
                      <w:sz w:val="24"/>
                    </w:rPr>
                    <m:t>g,h</m:t>
                  </m:r>
                </m:sub>
                <m:sup/>
                <m:e>
                  <m:sSub>
                    <m:e>
                      <m:r>
                        <w:rPr>
                          <w:rFonts w:ascii="Cambria Math" w:hAnsi="Cambria Math"/>
                          <w:sz w:val="24"/>
                        </w:rPr>
                        <m:t>s</m:t>
                      </m:r>
                    </m:e>
                    <m:sub>
                      <m:r>
                        <w:rPr>
                          <w:rFonts w:ascii="Cambria Math" w:hAnsi="Cambria Math"/>
                          <w:sz w:val="24"/>
                        </w:rPr>
                        <m:t>gh</m:t>
                      </m:r>
                    </m:sub>
                  </m:sSub>
                </m:e>
              </m:nary>
            </m:e>
          </m:nary>
          <m:sSub>
            <m:e>
              <m:r>
                <w:rPr>
                  <w:rFonts w:ascii="Cambria Math" w:hAnsi="Cambria Math"/>
                  <w:sz w:val="24"/>
                </w:rPr>
                <m:t>x</m:t>
              </m:r>
            </m:e>
            <m:sub>
              <m:r>
                <w:rPr>
                  <w:rFonts w:ascii="Cambria Math" w:hAnsi="Cambria Math"/>
                  <w:sz w:val="24"/>
                </w:rPr>
                <m:t>ig</m:t>
              </m:r>
            </m:sub>
          </m:sSub>
          <m:sSub>
            <m:e>
              <m:r>
                <w:rPr>
                  <w:rFonts w:ascii="Cambria Math" w:hAnsi="Cambria Math"/>
                  <w:sz w:val="24"/>
                </w:rPr>
                <m:t>x</m:t>
              </m:r>
            </m:e>
            <m:sub>
              <m:r>
                <w:rPr>
                  <w:rFonts w:ascii="Cambria Math" w:hAnsi="Cambria Math"/>
                  <w:sz w:val="24"/>
                </w:rPr>
                <m:t>jh</m:t>
              </m:r>
            </m:sub>
          </m:sSub>
          <m:r>
            <w:rPr>
              <w:rFonts w:ascii="Cambria Math" w:hAnsi="Cambria Math"/>
              <w:sz w:val="24"/>
            </w:rPr>
            <m:t>.</m:t>
          </m:r>
        </m:oMath>
      </m:oMathPara>
      <w:r>
        <w:rPr>
          <w:sz w:val="22"/>
        </w:rPr>
        <w:t xml:space="preserve">  （4）</w:t>
      </w:r>
    </w:p>
    <w:p>
      <w:pPr>
        <w:keepNext w:val="0"/>
        <w:widowControl/>
        <w:spacing w:line="360" w:lineRule="auto" w:after="0" w:before="0"/>
        <w:ind w:firstLine="480"/>
        <w:jc w:val="both"/>
      </w:pPr>
      <w:r>
        <w:rPr>
          <w:b w:val="0"/>
          <w:sz w:val="24"/>
        </w:rPr>
        <w:t>模板选择变量仅取0或1；每个项目恰好选择一个模板，并且只能选择兼容标志</w:t>
      </w:r>
      <m:oMath>
        <m:sSub>
          <m:e>
            <m:r>
              <w:rPr>
                <w:rFonts w:ascii="Cambria Math" w:hAnsi="Cambria Math"/>
                <w:sz w:val="24"/>
              </w:rPr>
              <m:t>K</m:t>
            </m:r>
          </m:e>
          <m:sub>
            <m:r>
              <w:rPr>
                <w:rFonts w:ascii="Cambria Math" w:hAnsi="Cambria Math"/>
                <w:sz w:val="24"/>
              </w:rPr>
              <m:t>ig</m:t>
            </m:r>
          </m:sub>
        </m:sSub>
      </m:oMath>
      <w:r>
        <w:rPr>
          <w:b w:val="0"/>
          <w:sz w:val="24"/>
        </w:rPr>
        <w:t>为1的模板。上述条件作为求解式（4）时必须满足的约束。</w:t>
      </w:r>
    </w:p>
    <w:p>
      <w:pPr>
        <w:keepNext w:val="0"/>
        <w:widowControl/>
        <w:spacing w:line="360" w:lineRule="auto" w:after="0" w:before="0"/>
        <w:ind w:firstLine="480"/>
        <w:jc w:val="both"/>
      </w:pPr>
      <w:r>
        <w:rPr>
          <w:b w:val="0"/>
          <w:sz w:val="24"/>
        </w:rPr>
        <w:t>式（4）中的代价仅衡量接口冗余和场景切换，不是疗效评分。输入槽位均已满足硬性要求后，可用“模板可用槽位数减去当前需求槽位数”作为</w:t>
      </w:r>
      <m:oMath>
        <m:sSub>
          <m:e>
            <m:r>
              <w:rPr>
                <w:rFonts w:ascii="Cambria Math" w:hAnsi="Cambria Math"/>
                <w:sz w:val="24"/>
              </w:rPr>
              <m:t>c</m:t>
            </m:r>
          </m:e>
          <m:sub>
            <m:r>
              <w:rPr>
                <w:rFonts w:ascii="Cambria Math" w:hAnsi="Cambria Math"/>
                <w:sz w:val="24"/>
              </w:rPr>
              <m:t>ig</m:t>
            </m:r>
          </m:sub>
        </m:sSub>
      </m:oMath>
      <w:r>
        <w:rPr>
          <w:b w:val="0"/>
          <w:sz w:val="24"/>
        </w:rPr>
        <w:t>的一部分。</w:t>
      </w:r>
      <m:oMath>
        <m:sSub>
          <m:e>
            <m:r>
              <w:rPr>
                <w:rFonts w:ascii="Cambria Math" w:hAnsi="Cambria Math"/>
                <w:sz w:val="24"/>
              </w:rPr>
              <m:t>s</m:t>
            </m:r>
          </m:e>
          <m:sub>
            <m:r>
              <w:rPr>
                <w:rFonts w:ascii="Cambria Math" w:hAnsi="Cambria Math"/>
                <w:sz w:val="24"/>
              </w:rPr>
              <m:t>gh</m:t>
            </m:r>
          </m:sub>
        </m:sSub>
      </m:oMath>
      <w:r>
        <w:rPr>
          <w:b w:val="0"/>
          <w:sz w:val="24"/>
        </w:rPr>
        <w:t>可取相同模板为0、不同模板为1；只有处方顺序已确定时才求解，不以减少切换为理由重新排列医生规定的动作。</w:t>
      </w:r>
    </w:p>
    <w:p>
      <w:pPr>
        <w:keepNext w:val="0"/>
        <w:widowControl/>
        <w:spacing w:line="360" w:lineRule="auto" w:after="0" w:before="0"/>
        <w:ind w:firstLine="480"/>
        <w:jc w:val="both"/>
      </w:pPr>
      <w:r>
        <w:rPr>
          <w:b w:val="0"/>
          <w:sz w:val="24"/>
        </w:rPr>
        <w:t>对于单条顺序处方，可采用动态规划：先记录第一项目各兼容模板的适配代价；此后，对当前项目的每个候选模板，逐一比较前一项目已保存的累计代价、两模板间切换代价及当前适配代价之和，保留最小值及对应前驱，最后回溯获得模板序列。相同代价按固定模板标识顺序选择。若某项目没有候选模板，返回该项目的缺失项。对于有限轮次，先按处方展开项目实例及其邻接关系后使用同一方法。</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val="0"/>
        <w:widowControl/>
        <w:spacing w:line="360" w:lineRule="auto" w:after="0" w:before="0"/>
        <w:ind w:firstLine="480"/>
        <w:jc w:val="both"/>
      </w:pPr>
      <w:r>
        <w:rPr>
          <w:b w:val="0"/>
          <w:sz w:val="24"/>
        </w:rPr>
        <w:t>对于多动作处方，编译器将每个项目子图的EXIT或组完成节点连接到处方指定的后继项目，插入</w:t>
      </w:r>
      <m:oMath>
        <m:sSub>
          <m:e>
            <m:r>
              <w:rPr>
                <w:rFonts w:ascii="Cambria Math" w:hAnsi="Cambria Math"/>
                <w:sz w:val="24"/>
              </w:rPr>
              <m:t>R</m:t>
            </m:r>
          </m:e>
          <m:sub>
            <m:r>
              <w:rPr>
                <w:rFonts w:ascii="Cambria Math" w:hAnsi="Cambria Math"/>
                <w:sz w:val="24"/>
              </w:rPr>
              <m:t>P</m:t>
            </m:r>
          </m:sub>
        </m:sSub>
      </m:oMath>
      <w:r>
        <w:rPr>
          <w:b w:val="0"/>
          <w:sz w:val="24"/>
        </w:rPr>
        <w:t>规定的休息和体位转换准备节点，形成处方级任务图</w:t>
      </w:r>
      <m:oMath>
        <m:sSub>
          <m:e>
            <m:r>
              <w:rPr>
                <w:rFonts w:ascii="Cambria Math" w:hAnsi="Cambria Math"/>
                <w:sz w:val="24"/>
              </w:rPr>
              <m:rPr>
                <m:scr m:val="script"/>
              </m:rPr>
              <m:t>T</m:t>
            </m:r>
          </m:e>
          <m:sub>
            <m:r>
              <w:rPr>
                <w:rFonts w:ascii="Cambria Math" w:hAnsi="Cambria Math"/>
                <w:sz w:val="24"/>
              </w:rPr>
              <m:t>P</m:t>
            </m:r>
          </m:sub>
        </m:sSub>
      </m:oMath>
      <w:r>
        <w:rPr>
          <w:b w:val="0"/>
          <w:sz w:val="24"/>
        </w:rPr>
        <w:t>。任务图保留项目标识、轮次标识及本轮剂量，采用同一模板时也重新绑定项目条件。若处方要求A动作全部组完成后再做B，则按此连接；若要求A、B各一组循环两轮，则展开为A₁、B₁、A₂、B₂，不能替换为A₁、A₂、B₁、B₂。</w:t>
      </w:r>
    </w:p>
    <w:p>
      <w:pPr>
        <w:keepNext w:val="0"/>
        <w:widowControl/>
        <w:spacing w:line="360" w:lineRule="auto" w:after="0" w:before="0"/>
        <w:ind w:firstLine="480"/>
        <w:jc w:val="both"/>
      </w:pPr>
      <w:r>
        <w:rPr>
          <w:b w:val="0"/>
          <w:sz w:val="24"/>
        </w:rPr>
        <w:t>如图6所示，示例整份处方依次包含鸟狗式、死虫式及坐位伸膝三个项目。前两项可以使用支持两种体位的同一对侧交替模板，第三项使用单通道往返模板。各项目的实际角度、有效保持及休息从自己的</w:t>
      </w:r>
      <m:oMath>
        <m:sSub>
          <m:e>
            <m:r>
              <w:rPr>
                <w:rFonts w:ascii="Cambria Math" w:hAnsi="Cambria Math"/>
                <w:sz w:val="24"/>
              </w:rPr>
              <m:t>D</m:t>
            </m:r>
          </m:e>
          <m:sub>
            <m:r>
              <w:rPr>
                <w:rFonts w:ascii="Cambria Math" w:hAnsi="Cambria Math"/>
                <w:sz w:val="24"/>
              </w:rPr>
              <m:t>i</m:t>
            </m:r>
          </m:sub>
        </m:sSub>
      </m:oMath>
      <w:r>
        <w:rPr>
          <w:b w:val="0"/>
          <w:sz w:val="24"/>
        </w:rPr>
        <w:t>读取；从四点支撑切换到仰卧或坐位时均需准备确认。处方级显示可以采用连续关卡，也可以切换独立游戏场景。</w:t>
      </w:r>
    </w:p>
    <w:p>
      <w:pPr>
        <w:keepNext w:val="0"/>
        <w:widowControl/>
        <w:spacing w:line="360" w:lineRule="auto" w:after="0" w:before="0"/>
        <w:ind w:firstLine="480"/>
        <w:jc w:val="both"/>
      </w:pPr>
      <w:r>
        <w:rPr>
          <w:b w:val="0"/>
          <w:sz w:val="24"/>
        </w:rPr>
        <w:t>例如，三个项目候选分别为{</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}及{</w:t>
      </w:r>
      <m:oMath>
        <m:sSub>
          <m:e>
            <m:r>
              <w:rPr>
                <w:rFonts w:ascii="Cambria Math" w:hAnsi="Cambria Math"/>
                <w:sz w:val="24"/>
              </w:rPr>
              <m:t>T</m:t>
            </m:r>
          </m:e>
          <m:sub>
            <m:r>
              <w:rPr>
                <w:rFonts w:ascii="Cambria Math" w:hAnsi="Cambria Math"/>
                <w:sz w:val="24"/>
              </w:rPr>
              <m:t>C</m:t>
            </m:r>
          </m:sub>
        </m:sSub>
      </m:oMath>
      <w:r>
        <w:rPr>
          <w:b w:val="0"/>
          <w:sz w:val="24"/>
        </w:rPr>
        <w:t>}，前两项在</w:t>
      </w:r>
      <m:oMath>
        <m:sSub>
          <m:e>
            <m:r>
              <w:rPr>
                <w:rFonts w:ascii="Cambria Math" w:hAnsi="Cambria Math"/>
                <w:sz w:val="24"/>
              </w:rPr>
              <m:t>T</m:t>
            </m:r>
          </m:e>
          <m:sub>
            <m:r>
              <w:rPr>
                <w:rFonts w:ascii="Cambria Math" w:hAnsi="Cambria Math"/>
                <w:sz w:val="24"/>
              </w:rPr>
              <m:t>A</m:t>
            </m:r>
          </m:sub>
        </m:sSub>
      </m:oMath>
      <w:r>
        <w:rPr>
          <w:b w:val="0"/>
          <w:sz w:val="24"/>
        </w:rPr>
        <w:t>上的接口冗余代价为0，在</w:t>
      </w:r>
      <m:oMath>
        <m:sSub>
          <m:e>
            <m:r>
              <w:rPr>
                <w:rFonts w:ascii="Cambria Math" w:hAnsi="Cambria Math"/>
                <w:sz w:val="24"/>
              </w:rPr>
              <m:t>T</m:t>
            </m:r>
          </m:e>
          <m:sub>
            <m:r>
              <w:rPr>
                <w:rFonts w:ascii="Cambria Math" w:hAnsi="Cambria Math"/>
                <w:sz w:val="24"/>
              </w:rPr>
              <m:t>B</m:t>
            </m:r>
          </m:sub>
        </m:sSub>
      </m:oMath>
      <w:r>
        <w:rPr>
          <w:b w:val="0"/>
          <w:sz w:val="24"/>
        </w:rPr>
        <w:t>上为1；取λ=2，模板不同时的s=1，相同时为0，则序列(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)的总成本为2，序列(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)的总成本为5。系统选择前者仅减少冗余和切换，两种选择均不得改变三个项目的剂量及顺序。模板</w:t>
      </w:r>
      <m:oMath>
        <m:sSub>
          <m:e>
            <m:r>
              <w:rPr>
                <w:rFonts w:ascii="Cambria Math" w:hAnsi="Cambria Math"/>
                <w:sz w:val="24"/>
              </w:rPr>
              <m:t>T</m:t>
            </m:r>
          </m:e>
          <m:sub>
            <m:r>
              <w:rPr>
                <w:rFonts w:ascii="Cambria Math" w:hAnsi="Cambria Math"/>
                <w:sz w:val="24"/>
              </w:rPr>
              <m:t>A</m:t>
            </m:r>
          </m:sub>
        </m:sSub>
      </m:oMath>
      <w:r>
        <w:rPr>
          <w:b w:val="0"/>
          <w:sz w:val="24"/>
        </w:rPr>
        <w:t>支持所需体位及全部监测条件是该示例成立的前提。</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Lines/>
        <w:spacing w:line="276" w:lineRule="auto" w:before="120" w:after="120"/>
        <w:ind w:firstLine="0"/>
        <w:jc w:val="center"/>
      </w:pPr>
      <m:oMathPara>
        <m:oMath>
          <m:eqArr>
            <m:e>
              <m:sSub>
                <m:e>
                  <m:r>
                    <w:rPr>
                      <w:rFonts w:ascii="Cambria Math" w:hAnsi="Cambria Math"/>
                      <w:sz w:val="24"/>
                    </w:rPr>
                    <m:t>u</m:t>
                  </m:r>
                </m:e>
                <m:sub>
                  <m:r>
                    <w:rPr>
                      <w:rFonts w:ascii="Cambria Math" w:hAnsi="Cambria Math"/>
                      <w:sz w:val="24"/>
                    </w:rPr>
                    <m:t>a</m:t>
                  </m:r>
                </m:sub>
              </m:sSub>
              <m:r>
                <w:rPr>
                  <w:rFonts w:ascii="Cambria Math" w:hAnsi="Cambria Math"/>
                  <w:sz w:val="24"/>
                </w:rPr>
                <m:t>(t)=</m:t>
              </m:r>
              <m:f>
                <m:fPr>
                  <m:type m:val="bar"/>
                </m:fPr>
                <m:num>
                  <m:sSub>
                    <m:e>
                      <m:r>
                        <w:rPr>
                          <w:rFonts w:ascii="Cambria Math" w:hAnsi="Cambria Math"/>
                          <w:sz w:val="24"/>
                        </w:rPr>
                        <m:t>x</m:t>
                      </m:r>
                    </m:e>
                    <m:sub>
                      <m:r>
                        <w:rPr>
                          <w:rFonts w:ascii="Cambria Math" w:hAnsi="Cambria Math"/>
                          <w:sz w:val="24"/>
                        </w:rPr>
                        <m:t>a</m:t>
                      </m:r>
                    </m:sub>
                  </m:sSub>
                  <m:r>
                    <w:rPr>
                      <w:rFonts w:ascii="Cambria Math" w:hAnsi="Cambria Math"/>
                      <w:sz w:val="24"/>
                    </w:rPr>
                    <m:t>(t)−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num>
                <m:den>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den>
              </m:f>
              <m:r>
                <w:rPr>
                  <w:rFonts w:ascii="Cambria Math" w:hAnsi="Cambria Math"/>
                  <w:sz w:val="24"/>
                </w:rPr>
                <m:t>,</m:t>
              </m:r>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r>
                <w:rPr>
                  <w:rFonts w:ascii="Cambria Math" w:hAnsi="Cambria Math"/>
                  <w:sz w:val="24"/>
                </w:rPr>
                <m:t>|&gt;</m:t>
              </m:r>
              <m:sSub>
                <m:e>
                  <m:r>
                    <w:rPr>
                      <w:rFonts w:ascii="Cambria Math" w:hAnsi="Cambria Math"/>
                      <w:sz w:val="24"/>
                    </w:rPr>
                    <m:t>ϵ</m:t>
                  </m:r>
                </m:e>
                <m:sub>
                  <m:r>
                    <w:rPr>
                      <w:rFonts w:ascii="Cambria Math" w:hAnsi="Cambria Math"/>
                      <w:sz w:val="24"/>
                    </w:rPr>
                    <m:t>a</m:t>
                  </m:r>
                </m:sub>
              </m:sSub>
              <m:r>
                <w:rPr>
                  <w:rFonts w:ascii="Cambria Math" w:hAnsi="Cambria Math"/>
                  <w:sz w:val="24"/>
                </w:rPr>
                <m:t>,</m:t>
              </m:r>
            </m:e>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clip</m:t>
                  </m:r>
                </m:e>
                <m:sub>
                  <m:d>
                    <m:dPr>
                      <m:begChr m:val="["/>
                      <m:sepChr m:val=","/>
                      <m:endChr m:val="]"/>
                    </m:dPr>
                    <m:e>
                      <m:r>
                        <w:rPr>
                          <w:rFonts w:ascii="Cambria Math" w:hAnsi="Cambria Math"/>
                          <w:sz w:val="24"/>
                        </w:rPr>
                        <m:t>0</m:t>
                      </m:r>
                    </m:e>
                    <m:e>
                      <m:r>
                        <w:rPr>
                          <w:rFonts w:ascii="Cambria Math" w:hAnsi="Cambria Math"/>
                          <w:sz w:val="24"/>
                        </w:rPr>
                        <m:t>1</m:t>
                      </m:r>
                    </m:e>
                  </m:d>
                </m:sub>
              </m:sSub>
              <m:sSub>
                <m:e>
                  <m:r>
                    <w:rPr>
                      <w:rFonts w:ascii="Cambria Math" w:hAnsi="Cambria Math"/>
                      <w:sz w:val="24"/>
                    </w:rPr>
                    <m:t>u</m:t>
                  </m:r>
                </m:e>
                <m:sub>
                  <m:r>
                    <w:rPr>
                      <w:rFonts w:ascii="Cambria Math" w:hAnsi="Cambria Math"/>
                      <w:sz w:val="24"/>
                    </w:rPr>
                    <m:t>a</m:t>
                  </m:r>
                </m:sub>
              </m:sSub>
              <m:r>
                <w:rPr>
                  <w:rFonts w:ascii="Cambria Math" w:hAnsi="Cambria Math"/>
                  <w:sz w:val="24"/>
                </w:rPr>
                <m:t>(t).</m:t>
              </m:r>
            </m:e>
          </m:eqArr>
        </m:oMath>
      </m:oMathPara>
      <w:r>
        <w:rPr>
          <w:sz w:val="22"/>
        </w:rPr>
        <w:t xml:space="preserve">  （5）</w:t>
      </w:r>
    </w:p>
    <w:p>
      <w:pPr>
        <w:keepNext w:val="0"/>
        <w:widowControl/>
        <w:spacing w:line="360" w:lineRule="auto" w:after="0" w:before="0"/>
        <w:ind w:firstLine="480"/>
        <w:jc w:val="both"/>
      </w:pPr>
      <w:r>
        <w:rPr>
          <w:b w:val="0"/>
          <w:sz w:val="24"/>
        </w:rPr>
        <w:t>其中a为活动通道索引，</w:t>
      </w:r>
      <m:oMath>
        <m:sSub>
          <m:e>
            <m:r>
              <w:rPr>
                <w:rFonts w:ascii="Cambria Math" w:hAnsi="Cambria Math"/>
                <w:sz w:val="24"/>
              </w:rPr>
              <m:t>x</m:t>
            </m:r>
          </m:e>
          <m:sub>
            <m:r>
              <w:rPr>
                <w:rFonts w:ascii="Cambria Math" w:hAnsi="Cambria Math"/>
                <w:sz w:val="24"/>
              </w:rPr>
              <m:t>a</m:t>
            </m:r>
          </m:sub>
        </m:sSub>
        <m:r>
          <w:rPr>
            <w:rFonts w:ascii="Cambria Math" w:hAnsi="Cambria Math"/>
            <w:sz w:val="24"/>
          </w:rPr>
          <m:t>(t)</m:t>
        </m:r>
      </m:oMath>
      <w:r>
        <w:rPr>
          <w:b w:val="0"/>
          <w:sz w:val="24"/>
        </w:rPr>
        <w:t>为当前物理特征，</w:t>
      </w:r>
      <m:oMath>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oMath>
      <w:r>
        <w:rPr>
          <w:b w:val="0"/>
          <w:sz w:val="24"/>
        </w:rPr>
        <w:t>为起始值，</w:t>
      </w:r>
      <m:oMath>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oMath>
      <w:r>
        <w:rPr>
          <w:b w:val="0"/>
          <w:sz w:val="24"/>
        </w:rPr>
        <w:t>为目标值；目标可大于或小于起始值。</w:t>
      </w:r>
      <m:oMath>
        <m:sSub>
          <m:e>
            <m:r>
              <w:rPr>
                <w:rFonts w:ascii="Cambria Math" w:hAnsi="Cambria Math"/>
                <w:sz w:val="24"/>
              </w:rPr>
              <m:t>ϵ</m:t>
            </m:r>
          </m:e>
          <m:sub>
            <m:r>
              <w:rPr>
                <w:rFonts w:ascii="Cambria Math" w:hAnsi="Cambria Math"/>
                <w:sz w:val="24"/>
              </w:rPr>
              <m:t>a</m:t>
            </m:r>
          </m:sub>
        </m:sSub>
      </m:oMath>
      <w:r>
        <w:rPr>
          <w:b w:val="0"/>
          <w:sz w:val="24"/>
        </w:rPr>
        <w:t>为最小可分辨变化量。后文示例使用x0及xg分别表示对应通道的起始和目标。差值不足时应配置为保持通道或拒绝启动位移任务，不能直接除以接近零的数。</w:t>
      </w:r>
    </w:p>
    <w:p>
      <w:pPr>
        <w:keepNext w:val="0"/>
        <w:widowControl/>
        <w:spacing w:line="360" w:lineRule="auto" w:after="0" w:before="0"/>
        <w:ind w:firstLine="480"/>
        <w:jc w:val="both"/>
      </w:pPr>
      <w:r>
        <w:rPr>
          <w:b w:val="0"/>
          <w:sz w:val="24"/>
        </w:rPr>
        <w:t>对于一个或多个游戏槽位，分别配置显示起点和终点。将各通道零至一的显示控制量按比例映射到对应显示区间：零对应起点，一对应终点，中间值对应相同比例的显示行程。该显示变换仅决定画面位置，处方的真实运动目标保持独立。</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Q4为多维且规定路径的动作，将各通道的归一化进度组成特征向量，并将处方路径按先后顺序登记为路径点或参数化轨迹。每次仅在上一已确认进度至其允许的前向搜索范围内，查找与当前特征最接近的路径位置；不同通道的距离权重由动作配置给出。仅当路径偏差不超过规定走廊宽度且当前阶段条件满足时，更新游戏进度，否则保留上一进度并触发偏离处理。同距离时选取进度较小的位置，终点提交仍需经过全部必需阶段。返回过程单独配置返回路径及阶段状态，避免前向搜索跳过返回要求。</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联合判定采用逐项通过规则：各活动通道分别检查处方目标区间；各稳定特征分别检查参考姿态及允许偏差；具有同步要求的通道对检查未截断的归一化进度差是否在容差内；接触、配对、数据有效及路径顺序等条件分别检查。所有当前节点必需条件均满足时，节点才有效。独立或不同时活动的通道不强加同步要求；不存在的约束类型不参与判定。周期角度先转换为相对于参考方向的连续局部角差。各项条件不能相互抵消，显示进度限幅也不能掩盖真实运动越界。</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图4以包含保持与返回的动作周期为例，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REACH状态检查移动方向、允许范围以及配置的时长或速度条件。达到目标并经确认后进入HOLD。HOLD采用前述联合判定，要求各必需通道及约束同时满足。</w:t>
      </w:r>
    </w:p>
    <w:p>
      <w:pPr>
        <w:keepNext w:val="0"/>
        <w:widowControl/>
        <w:spacing w:line="360" w:lineRule="auto" w:after="0" w:before="0"/>
        <w:ind w:firstLine="480"/>
        <w:jc w:val="both"/>
      </w:pPr>
      <w:r>
        <w:rPr>
          <w:b w:val="0"/>
          <w:sz w:val="24"/>
        </w:rPr>
        <w:t>连续保持计时在首次进入HOLD时置零；仅在相邻两次采样的目标及约束均满足、必需通道数据均有效、采样间隔为正且未超过配置时限时，累加该采样间隔。仅比较两端采样值并不能证明采样间连续轨迹，必要时由设备提供区间有效标志。累计达到处方保持时长后，进入RETURN。</w:t>
      </w:r>
    </w:p>
    <w:p>
      <w:pPr>
        <w:keepNext w:val="0"/>
        <w:widowControl/>
        <w:spacing w:line="360" w:lineRule="auto" w:after="0" w:before="0"/>
        <w:ind w:firstLine="480"/>
        <w:jc w:val="both"/>
      </w:pPr>
      <w:r>
        <w:rPr>
          <w:b w:val="0"/>
          <w:sz w:val="24"/>
        </w:rPr>
        <w:t>中途任一必需条件不满足时，本次连续保持计时清零；仍在允许范围内且当前尝试未结束的，可在重新满足目标后重新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处方项目、轮次、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item，round，group，side，cycle)。剂量管理模块在同一事务中完成事件标识去重及计数更新，提交成功后向游戏发送确认。相同eid再次到达时返回已有结果；已提交记录在游戏场景重载后仍保留。此处session、version、item、round、group、side和cycle分别为会话、处方版本、处方项目、轮次、组、侧别及周期标识。</w:t>
      </w:r>
    </w:p>
    <w:p>
      <w:pPr>
        <w:keepNext w:val="0"/>
        <w:widowControl/>
        <w:spacing w:line="360" w:lineRule="auto" w:after="0" w:before="0"/>
        <w:ind w:firstLine="480"/>
        <w:jc w:val="both"/>
      </w:pPr>
      <w:r>
        <w:rPr>
          <w:b w:val="0"/>
          <w:sz w:val="24"/>
        </w:rPr>
        <w:t>剂量管理模块按处方项目、轮次、组及侧别分别保存要求量、已完成量和剩余量。一个有效事件通过全部条件、版本及去重检查，且对应记录项仍有剩余次数时，仅将该记录项的有效完成次数增加一次，并更新其剩余次数；其他记录项保持不变。不能用某项目超额完成抵扣另一项目。纯时长任务另行累计有效保持时长，次数与秒数不相加。整份处方完成要求全部必需项目的次数、时长及任务图终止条件分别满足，而不是达到一个合并的游戏总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5所示，依据第三节的问题答案，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某时刻两通道特征分别为54°和42°，由式（5）得到0.90和0.70，共同进度为0.70。即使上肢进一步抬高，也不能替代下肢达到其目标。当两通道均进入目标区间、协同与稳定约束均满足时，系统开始连续保持计时。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5）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2所示，新增动作依次经历描述符登记、逐项属性问答、跨问题校验、主类别及附加属性生成、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显示控制量与画面起终点之间的比例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属性问题模式、分类规则及接口映射表均设置版本号。登记内容或规则版本改变时，重新校验受影响项目；旧任务图继续关联其原有版本，不在同一动作周期中途切换规则。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pStyle w:val="2"/>
        <w:pageBreakBefore/>
        <w:spacing w:after="240" w:before="0"/>
      </w:pPr>
      <w:r>
        <w:t>说   明   书   附   图</w:t>
      </w:r>
    </w:p>
    <w:p>
      <w:pPr>
        <w:keepNext/>
        <w:spacing w:after="80"/>
        <w:jc w:val="center"/>
      </w:pPr>
      <w:r>
        <w:drawing>
          <wp:inline xmlns:a="http://schemas.openxmlformats.org/drawingml/2006/main" xmlns:pic="http://schemas.openxmlformats.org/drawingml/2006/picture">
            <wp:extent cx="5220000" cy="57072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57072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6509647"/>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6509647"/>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632925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632925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5895529"/>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5895529"/>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190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190000"/>
                    </a:xfrm>
                    <a:prstGeom prst="rect"/>
                  </pic:spPr>
                </pic:pic>
              </a:graphicData>
            </a:graphic>
          </wp:inline>
        </w:drawing>
      </w:r>
    </w:p>
    <w:p>
      <w:pPr>
        <w:keepNext w:val="0"/>
        <w:widowControl/>
        <w:spacing w:line="360" w:lineRule="auto" w:after="0" w:before="0"/>
        <w:ind w:firstLine="0"/>
        <w:jc w:val="center"/>
      </w:pPr>
      <w:r>
        <w:rPr>
          <w:b w:val="0"/>
          <w:sz w:val="24"/>
        </w:rPr>
        <w:t>图5</w:t>
      </w:r>
    </w:p>
    <w:p>
      <w:r>
        <w:br w:type="page"/>
      </w:r>
    </w:p>
    <w:p>
      <w:pPr>
        <w:keepNext/>
        <w:spacing w:after="80"/>
        <w:jc w:val="center"/>
      </w:pPr>
      <w:r>
        <w:drawing>
          <wp:inline xmlns:a="http://schemas.openxmlformats.org/drawingml/2006/main" xmlns:pic="http://schemas.openxmlformats.org/drawingml/2006/picture">
            <wp:extent cx="5220000" cy="5619176"/>
            <wp:docPr id="7" name="Picture 7"/>
            <wp:cNvGraphicFramePr>
              <a:graphicFrameLocks noChangeAspect="1"/>
            </wp:cNvGraphicFramePr>
            <a:graphic>
              <a:graphicData uri="http://schemas.openxmlformats.org/drawingml/2006/picture">
                <pic:pic>
                  <pic:nvPicPr>
                    <pic:cNvPr id="0" name="fig6.png"/>
                    <pic:cNvPicPr/>
                  </pic:nvPicPr>
                  <pic:blipFill>
                    <a:blip r:embed="rId29"/>
                    <a:stretch>
                      <a:fillRect/>
                    </a:stretch>
                  </pic:blipFill>
                  <pic:spPr>
                    <a:xfrm>
                      <a:off x="0" y="0"/>
                      <a:ext cx="5220000" cy="5619176"/>
                    </a:xfrm>
                    <a:prstGeom prst="rect"/>
                  </pic:spPr>
                </pic:pic>
              </a:graphicData>
            </a:graphic>
          </wp:inline>
        </w:drawing>
      </w:r>
    </w:p>
    <w:p>
      <w:pPr>
        <w:keepNext w:val="0"/>
        <w:widowControl/>
        <w:spacing w:line="360" w:lineRule="auto" w:after="0" w:before="0"/>
        <w:ind w:firstLine="0"/>
        <w:jc w:val="center"/>
      </w:pPr>
      <w:r>
        <w:rPr>
          <w:b w:val="0"/>
          <w:sz w:val="24"/>
        </w:rPr>
        <w:t>图6</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一种面向多动作肌骨康复处方的游戏化方法</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