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PhyGProNet — Comprehensive Experimental Report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Sleep staging with prototype-physiology aligned representations</w:t>
      </w:r>
    </w:p>
    <w:p>
      <w:pPr>
        <w:spacing w:after="480"/>
        <w:jc w:val="center"/>
      </w:pPr>
      <w:r>
        <w:rPr>
          <w:rFonts w:ascii="Arial" w:cs="Arial" w:eastAsia="Arial" w:hAnsi="Arial"/>
          <w:sz w:val="20"/>
          <w:szCs w:val="20"/>
        </w:rPr>
        <w:t xml:space="preserve">Last updated: 2026-06-05</w:t>
      </w:r>
    </w:p>
    <w:p>
      <w:pPr>
        <w:pStyle w:val="Heading1"/>
      </w:pPr>
      <w:r>
        <w:t xml:space="preserve">0. Executive Summary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本报告汇总 PhyGProNet 第二轮投稿准备的所有实验结果。覆盖范围：统一协议下的 7 个 baseline 对比、4 个可解释性实验、7 个 ablation（5 个失败、2 个成功）、test-time 增强、统计显著性检验。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在统一 OLD 协议下（PhyG 自身设置，6 seeds），PhyG 在 Sleep-EDF in-domain F1 排名第一（0.744 ± 0.018），与 AttnSleep / DeepSleepNet / CBraMod 统计上无显著差异（paired t-test p &gt; 0.05）。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在 SHHS zero-shot 上，PhyG 在公平比较下排名第 5（0.486）。加上 test-time ensemble + noise TTA 后，所有模型涨 1-3pt，排名不变（PhyG #4 = 0.520, DeepSleep #1 = 0.556）。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Exp B（mech_w=0 ablation）是最有说服力的结果：去掉 mechanism 正则化后，in-domain F1 不变（0.7575），但 SHHS zs 从 0.486 崩到 0.336 — 这直接证明 mech reg 是 cross-domain transfer 的核心机制。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Exp C：N3 prototypes 在 Sleep-EDF / SHHS / ISRUC 三个数据集上的 top-K 一致性达到 95%。Slowwave 是 PhyG 学到的最跨域稳定的物理 marker。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六个架构扩展尝试（multi-scale、z-score、multi-band、per-rec norm、PhyG-B 四层结构、Plan C 多模态）全部都在提升 in-domain 同时损害 SHHS zero-shot —— 出现一致的 capacity-transfer trade-off 模式。</w:t>
      </w:r>
    </w:p>
    <w:p>
      <w:r>
        <w:br w:type="page"/>
      </w:r>
    </w:p>
    <w:p>
      <w:pPr>
        <w:pStyle w:val="Heading1"/>
      </w:pPr>
      <w:r>
        <w:t xml:space="preserve">1. Main Results (Unified OLD Protocol)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所有 baseline 都在 PhyG 的 OLD 协议下训练：subject-wise 80/10/10 随机分组 × 6 seeds (42-47)，AdamW lr=3e-4 wd=1e-4 batch=128，20 epochs，无 scheduler / class weights / label smoothing，按 val macro-F1 选 ckpt。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500"/>
        <w:gridCol w:w="25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Params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Sleep-EDF F1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SHHS zs F1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PhyGProNet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0.66M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0.744 ± 0.018 (#1)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0.486 ± 0.057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AttnSleep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0.52M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0.726 ± 0.026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0.510 ± 0.022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DeepSleepNet (PyTorch reimpl)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25.4M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0.716 ± 0.022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0.546 ± 0.014 (#1)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CBraMod (pretrained transformer)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7.96M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0.713 ± 0.030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0.490 ± 0.024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LaBraM (pretrained transformer)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5.82M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0.704 ± 0.020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0.515 ± 0.033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TinySleepNet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1.3M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0.498 ± 0.060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0.402 ± 0.036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USleep (+BN-train-eval hack)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2.5M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0.367 ± 0.058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0.192 ± 0.026</w:t>
            </w:r>
          </w:p>
        </w:tc>
      </w:tr>
    </w:tbl>
    <w:p>
      <w:pPr>
        <w:pStyle w:val="Heading2"/>
      </w:pPr>
      <w:r>
        <w:t xml:space="preserve">Statistical Significance (paired t-test, 6 seeds)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80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Baseline vs PhyG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Sleep-EDF F1 p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SHHS zs p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AttnSleep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0.254 (ns)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0.487 (ns)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DeepSleepNet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0.069 (~ns)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0.10 (ns)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CBraMod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0.061 (~ns)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0.884 (ns)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LaBraM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0.014 *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0.338 (ns)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TinySleepNet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0.0002 ***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0.034 *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USleep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2e-5 ***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8e-5 ***</w:t>
            </w:r>
          </w:p>
        </w:tc>
      </w:tr>
    </w:tbl>
    <w:p>
      <w:pPr>
        <w:spacing w:after="120"/>
      </w:pPr>
      <w:r>
        <w:rPr>
          <w:rFonts w:ascii="PingFang SC" w:cs="PingFang SC" w:eastAsia="PingFang SC" w:hAnsi="PingFang SC"/>
          <w:i/>
          <w:iCs/>
        </w:rPr>
        <w:t xml:space="preserve">显著性阈值：p &lt; 0.05 为 *，p &lt; 0.01 为 **，p &lt; 0.001 为 ***。PhyG 与 AttnSleep / DeepSleepNet / CBraMod 在 Sleep-EDF 和 SHHS 上都没有显著差异 —— 处于同一性能档位。</w:t>
      </w:r>
    </w:p>
    <w:p>
      <w:r>
        <w:br w:type="page"/>
      </w:r>
    </w:p>
    <w:p>
      <w:pPr>
        <w:pStyle w:val="Heading1"/>
      </w:pPr>
      <w:r>
        <w:t xml:space="preserve">2. PhyG Protocol Variants</w:t>
      </w:r>
    </w:p>
    <w:p>
      <w:pPr>
        <w:pStyle w:val="Heading2"/>
      </w:pPr>
      <w:r>
        <w:t xml:space="preserve">2.1 OLD Protocol (6 seeds, K96_t35) — Main Reported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200"/>
        <w:gridCol w:w="1500"/>
        <w:gridCol w:w="1500"/>
        <w:gridCol w:w="1500"/>
      </w:tblGrid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Seed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Sleep-EDF F1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MASS zs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SHHS zs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ISRUC zs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0.7632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0.409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0.609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0.389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0.239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0.7356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0.364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0.656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0.533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0.353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0.7257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0.334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0.615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0.526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0.301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0.7263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0.353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0.587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0.440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0.293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0.7484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0.318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0.603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0.297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47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0.7652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0.377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0.624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0.542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0.353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Mean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0.7441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0.359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0.616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0.306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0.018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0.030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0.022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0.057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0.041</w:t>
            </w:r>
          </w:p>
        </w:tc>
      </w:tr>
    </w:tbl>
    <w:p>
      <w:pPr>
        <w:pStyle w:val="Heading2"/>
      </w:pPr>
      <w:r>
        <w:t xml:space="preserve">2.2 NEW Unified 5-fold CV (K1=192, AdamW + Cosine + Class Weights + LS)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400"/>
        <w:gridCol w:w="1400"/>
        <w:gridCol w:w="1400"/>
        <w:gridCol w:w="1400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Fold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test F1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REM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0.7540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0.415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0.823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0.808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0.730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0.7429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0.431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0.803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0.810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0.690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0.7581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0.426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0.864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0.819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0.708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0.7329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0.389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0.799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0.797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0.709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0.7255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0.409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0.807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0.691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Mean ± std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0.7427 ± 0.014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0.414 ± 0.018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0.819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0.796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0.706</w:t>
            </w:r>
          </w:p>
        </w:tc>
      </w:tr>
    </w:tbl>
    <w:p>
      <w:pPr>
        <w:pStyle w:val="Heading2"/>
      </w:pPr>
      <w:r>
        <w:t xml:space="preserve">2.3 NEW vs OLD Trade-off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0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NEW (5-fold)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OLD (6 seeds)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Δ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Sleep-EDF F1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0.7427 ± 0.014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0.7441 ± 0.018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-0.001 (≈)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N1 F1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0.414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0.359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+0.055 (↑)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SHHS zs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0.476 ± 0.030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0.486 ± 0.057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-0.010 (↓)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MASS zs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0.597 ± 0.012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0.616 ± 0.022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-0.019 (↓)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ISRUC zs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0.287 ± 0.022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0.306 ± 0.045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-0.019 (↓)</w:t>
            </w:r>
          </w:p>
        </w:tc>
      </w:tr>
    </w:tbl>
    <w:p>
      <w:pPr>
        <w:spacing w:after="120"/>
      </w:pPr>
      <w:r>
        <w:rPr>
          <w:rFonts w:ascii="PingFang SC" w:cs="PingFang SC" w:eastAsia="PingFang SC" w:hAnsi="PingFang SC"/>
          <w:i/>
          <w:iCs/>
        </w:rPr>
        <w:t xml:space="preserve">更强的训练策略（class weights + cosine + 50 epochs）显著提升 N1 但轻微伤害 cross-domain transfer —— capacity 与 transfer 的 trade-off 模式重现。</w:t>
      </w:r>
    </w:p>
    <w:p>
      <w:pPr>
        <w:pStyle w:val="Heading2"/>
      </w:pPr>
      <w:r>
        <w:t xml:space="preserve">2.4 SHHS Few-shot (Base ckpt = seed43, 3 fewshot seeds, full FT)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 (support subjects)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Mean ± std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Δ vs zero-shot (0.533)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 (zs)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0.533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0.551 ± 0.027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+0.018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0.628 ± 0.021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+0.095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0.647 ± 0.019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+0.114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0.656 ± 0.009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+0.122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Test-Time Ensemble + Noise TTA (Fair Comparison)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所有模型都使用相同的推理时增强：6 个 seed ckpts × 4 个 noise 扰动输入（Gaussian std = 0.05 × input std）+ median voting，共 30 个 log-prob 预测取中位数。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15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Single SHHS zs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Ensemble SHHS zs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Δ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DeepSleepNet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0.546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0.556 (#1)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+0.010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LaBraM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0.515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0.533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+0.018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AttnSleep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0.510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0.531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+0.020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PhyGProNet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0.504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0.520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+0.016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CBraMod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0.490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0.519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+0.029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TinySleepNet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0.403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0.425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+0.022</w:t>
            </w:r>
          </w:p>
        </w:tc>
      </w:tr>
    </w:tbl>
    <w:p>
      <w:pPr>
        <w:spacing w:after="120"/>
      </w:pPr>
      <w:r>
        <w:rPr>
          <w:rFonts w:ascii="PingFang SC" w:cs="PingFang SC" w:eastAsia="PingFang SC" w:hAnsi="PingFang SC"/>
          <w:i/>
          <w:iCs/>
        </w:rPr>
        <w:t xml:space="preserve">Ensemble + TTA 给所有 baseline 统一带来 1-3pt 提升，排名不变。在公平的 test-time 比较下，PhyG 排名第 4。</w:t>
      </w:r>
    </w:p>
    <w:p>
      <w:pPr>
        <w:pStyle w:val="Heading2"/>
      </w:pPr>
      <w:r>
        <w:t xml:space="preserve">PhyG TTA Ablation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SHHS zs F1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Single seed mean (no ensemble, no TTA)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0.486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Ensemble only (6 ckpts, mean voting)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0.504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Ensemble + median voting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0.518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Ensemble + median + noise TTA (n=4)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0.520 ⭐ best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Ensemble + amplitude scaling TTA (failed)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0.503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Ensemble + time-shift TTA (no gain)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0.504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Ensemble + temperature scaling (no gain)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Interpretability Experiments (PhyG-Specific)</w:t>
      </w:r>
    </w:p>
    <w:p>
      <w:pPr>
        <w:pStyle w:val="Heading2"/>
      </w:pPr>
      <w:r>
        <w:t xml:space="preserve">4.1 Exp A — Prototype-Physiology Alignment (fold0 ckpt)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量化模型学到的 prototype (K=192) 是否与生理学 marker 对齐：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Top-20 spindle-loaded prototypes：100% 都被分类为 N2-specialized ✓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Top-20 slowwave-loaded prototypes：100% 都被分类为 N3-specialized ✓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相关系数 corr(slowwave, N3 logit) = +0.83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相关系数 corr(spindle, N3 logit) = -0.50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proto_scatter_v3.png" descr="proto_scatter_v3.png" title="proto_scatter_v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1. Prototype-physiology scatter. X = mean spindle, Y = mean slowwave. Each point is a prototype, colored by specialization-based dominant class. N3 (red) clusters in high-slowwave / low-spindle quadrant; N2 (green) in high-spindle / low-slowwave.</w:t>
      </w:r>
    </w:p>
    <w:p>
      <w:pPr>
        <w:pStyle w:val="Heading2"/>
      </w:pPr>
      <w:r>
        <w:t xml:space="preserve">4.2 Exp B — Mechanism Regularization Ablation (Critical)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固定其他所有参数，仅将 mech_w 从 0.1 改为 0，去掉 prototype-physiology 对齐损失。这单独隔离 mech reg 的贡献。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1500"/>
      </w:tblGrid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mech_w = 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mech_w = 0.1 (c4)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Δ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Sleep-EDF F1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0.7575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0.7540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+0.4pt (≈)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SHHS zs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0.336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-15pt ⚠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N1 F1 in-domain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0.422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0.415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+0.7pt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N2 F1 in-domain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0.834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0.823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+1.1pt</w:t>
            </w:r>
          </w:p>
        </w:tc>
      </w:tr>
    </w:tbl>
    <w:p>
      <w:pPr>
        <w:spacing w:after="120"/>
      </w:pPr>
      <w:r>
        <w:rPr>
          <w:rFonts w:ascii="PingFang SC" w:cs="PingFang SC" w:eastAsia="PingFang SC" w:hAnsi="PingFang SC"/>
          <w:b/>
          <w:bCs/>
          <w:i/>
          <w:iCs/>
        </w:rPr>
        <w:t xml:space="preserve">去掉 mech reg 后，in-domain 性能完全没变（实际上略升，在噪声范围内），但 cross-domain 直接崩了 15pt。这是 prototype-physiology 对齐是 PhyG 跨域鲁棒性的核心机制的直接证据，不是 regularization 的副作用。</w:t>
      </w:r>
    </w:p>
    <w:p>
      <w:pPr>
        <w:pStyle w:val="Heading2"/>
      </w:pPr>
      <w:r>
        <w:t xml:space="preserve">4.3 Exp C — Cross-Domain Prototype Consistency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对每个 prototype，在 Sleep-EDF / SHHS / ISRUC 三个域上分别计算 per-class 的 specialization score，比较 top-K rank 的重合率。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000"/>
        <w:gridCol w:w="2000"/>
      </w:tblGrid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EDF↔SHHS top-10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EDF↔ISRUC top-10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EDF↔SHHS top-20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EDF↔ISRUC top-20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0.45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0.10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0.35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0.90 ⭐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0.80 ⭐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0.95 ⭐⭐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0.95 ⭐⭐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REM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0.90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0.45</w:t>
            </w:r>
          </w:p>
        </w:tc>
      </w:tr>
    </w:tbl>
    <w:p>
      <w:pPr>
        <w:spacing w:after="120"/>
      </w:pPr>
      <w:r>
        <w:rPr>
          <w:rFonts w:ascii="PingFang SC" w:cs="PingFang SC" w:eastAsia="PingFang SC" w:hAnsi="PingFang SC"/>
          <w:i/>
          <w:iCs/>
        </w:rPr>
        <w:t xml:space="preserve">Per-prototype 分配频率相关性：EDF↔SHHS r=0.77，EDF↔ISRUC r=0.62。N3 prototype（slowwave）在三个域上保持高度稳定，而其他类的 prototype 在不同域上变化较大。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topk_agreement.png" descr="topk_agreement.png" title="topk_agre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2. Top-10 prototype agreement heatmap (cross-domain). N3 and REM show high consistency; W, N1, N2 vary substantially across domains.</w:t>
      </w:r>
    </w:p>
    <w:p>
      <w:pPr>
        <w:pStyle w:val="Heading2"/>
      </w:pPr>
      <w:r>
        <w:t xml:space="preserve">4.4 Exp D — Decision Path Visualization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挑选 20 个 30 秒 epoch 例子（每个 stage 4 个），可视化原始 EEG 信号、mech 特征值、top-3 active prototype，以及 5 类预测概率。代表性例子如下：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N3_ex0_predN3.png" descr="N3_ex0_predN3.png" title="N3_ex0_pred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3. N3 example. Slowwave=+0.71 (high), spindle=-0.58 (low). Top-3 prototypes: p184 (0.11), p191 (0.08), p91 (0.05). Predicted N3 with high confidence (P5: N3=0.58, N2=0.38).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N2_ex0_predN2.png" descr="N2_ex0_predN2.png" title="N2_ex0_pred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4. N2 example. Spindle visible, predicted correctly.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关键观察：prototype 184 在 fold 0 的所有 4 个 N3 例子上都被激活，对应的 slowwave 值在 +0.7 到 +1.3 之间 —— 这是 fold 0 的 'N3 anchor prototype'。</w:t>
      </w:r>
    </w:p>
    <w:p>
      <w:pPr>
        <w:pStyle w:val="Heading2"/>
      </w:pPr>
      <w:r>
        <w:t xml:space="preserve">4.5 Exp E — PG-R Graph Structure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Prototype Graph Refinement (PG-R) 模块在 prototype vectors 上用 cosine similarity 构建 k=12 的 KNN 图，然后用 1 层 GCN 优化 prototype logits。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K (prototypes)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192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k (graph neighbors)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Level-1 dominant: N3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70 prototypes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Level-1 dominant: N2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112 prototypes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Level-1 dominant: Other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10 prototypes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Within-class edge mass fraction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0.958 ⭐</w:t>
            </w:r>
          </w:p>
        </w:tc>
      </w:tr>
      <w:t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PCA explained variance (PC1+PC2)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69%</w:t>
            </w:r>
          </w:p>
        </w:tc>
      </w:tr>
    </w:tbl>
    <w:p>
      <w:pPr>
        <w:spacing w:after="120"/>
      </w:pPr>
      <w:r>
        <w:rPr>
          <w:rFonts w:ascii="PingFang SC" w:cs="PingFang SC" w:eastAsia="PingFang SC" w:hAnsi="PingFang SC"/>
          <w:i/>
          <w:iCs/>
        </w:rPr>
        <w:t xml:space="preserve">PG-R 学到的图中，95.8% 的边权重落在同类 prototype 之间。图自然形成 class community 结构 —— 验证了 PG-R 设计的假设：聚合的是 class-coherent 邻居信息。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pg_pca.png" descr="pg_pca.png" title="pg_p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5. Prototype vectors (PCA), colored by Level-1 dominant class. N2 (green), N3 (red), Other (gray) clusters are visually separated.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3619500"/>
            <wp:effectExtent t="0" r="0" b="0" l="0"/>
            <wp:docPr id="1" name="pg_adjacency.png" descr="pg_adjacency.png" title="pg_adjac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6. PG-R adjacency matrix (rows/cols sorted by class). White lines separate classes; dense diagonal blocks confirm within-class community structure.</w:t>
      </w:r>
    </w:p>
    <w:p>
      <w:pPr>
        <w:pStyle w:val="Heading2"/>
      </w:pPr>
      <w:r>
        <w:t xml:space="preserve">4.6 Exp F — Cross-Fold Prototype Consistency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在 5 个 fold 上独立训练，对每个 fold 的 test 数据计算 per-class top-K specialized prototypes。然后跨 fold 计算 prototype 集合的 Jaccard 重合率。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200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Top-5 Jaccard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Top-10 Jaccard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Top-20 Jaccard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0.022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0.045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0.083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0.033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0.048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0.088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0.131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0.245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0.480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0.312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0.420 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0.828 ⭐⭐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REM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0.108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0.092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0.103</w:t>
            </w:r>
          </w:p>
        </w:tc>
      </w:tr>
    </w:tbl>
    <w:p>
      <w:pPr>
        <w:spacing w:after="120"/>
      </w:pPr>
      <w:r>
        <w:rPr>
          <w:rFonts w:ascii="PingFang SC" w:cs="PingFang SC" w:eastAsia="PingFang SC" w:hAnsi="PingFang SC"/>
          <w:i/>
          <w:iCs/>
        </w:rPr>
        <w:t xml:space="preserve">稳定的 N3 prototype：prototype 64 和 172 在所有 5 个 fold 的 top-10 N3-specialized 列表中都出现 —— 这是一个可复现的 N3 anchor 集合。</w:t>
      </w:r>
    </w:p>
    <w:p>
      <w:r>
        <w:br w:type="page"/>
      </w:r>
    </w:p>
    <w:p>
      <w:pPr>
        <w:pStyle w:val="Heading1"/>
      </w:pPr>
      <w:r>
        <w:t xml:space="preserve">5. Negative Ablations (Failed Architectural Extensions)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我们尝试了六种架构修改来提升 PhyG。所有这些修改都在改善 in-domain 性能的同时损害 cross-domain transfer —— 表现出一致的 'capacity-vs-transfer' trade-off 模式。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Modification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Sleep-EDF F1 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SHHS zs Δ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Multi-scale conv (k=99, 199)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+0.6pt (0.761 val)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-2.4pt (0.462)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慢收敛, in-domain 小幅改善, 损害 transfer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Multi-band mech features (5 bands)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+0.5pt (0.7586)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-12pt (0.366)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额外频带对 transfer 是 source-specific noise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Per-epoch z-score input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-0.9pt (0.7455)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-7.2pt (0.414)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去掉 amplitude 信息, N3 在 SHHS 上崩到 F1=0.14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Per-recording z-score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+0.9pt (0.7630)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-11pt (0.373)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同样原因 —— amplitude 是 N3 marker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PhyG-B (4-level hierarchy)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-25pt (0.498)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-21pt (0.277)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Masked CE 在子集内 → majority-class collapse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PhyG-B + focal loss + balanced sampling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≈ baseline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n/a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Collapse 修了但相对 baseline 没增益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Plan C (EEG + EOG multi-modal)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+2.9pt (0.7833)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-8.5pt (0.401)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EOG 改善 in-domain N1/REM (+7pt 每个) 但 SHHS EOG 通道差异</w:t>
            </w:r>
          </w:p>
        </w:tc>
      </w:tr>
    </w:tbl>
    <w:p>
      <w:pPr>
        <w:pStyle w:val="Heading2"/>
      </w:pPr>
      <w:r>
        <w:t xml:space="preserve">Pattern: capacity-vs-transfer trade-off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所有增加模型容量或输入维度的架构改造都提升 in-domain Sleep-EDF 性能，但伤害 SHHS / MASS / ISRUC 上的 zero-shot transfer。原始 c4 配置（K1=192, mech_w=0.1, 单通道 EEG, 无额外预处理）似乎是 PhyG 对于 source-target 分布间距的 sweet spot。</w:t>
      </w:r>
    </w:p>
    <w:p>
      <w:r>
        <w:br w:type="page"/>
      </w:r>
    </w:p>
    <w:p>
      <w:pPr>
        <w:pStyle w:val="Heading1"/>
      </w:pPr>
      <w:r>
        <w:t xml:space="preserve">6. Setup &amp; Reproducibility</w:t>
      </w:r>
    </w:p>
    <w:p>
      <w:pPr>
        <w:pStyle w:val="Heading2"/>
      </w:pPr>
      <w:r>
        <w:t xml:space="preserve">PhyG OLD Protocol Command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scripts/train_phyg_legacy.py --packed_dir &lt;data&gt; --seed N --epochs 20 --batch_size 128 --lr 3e-4 --K1 96 --tau 3.5 --mech_w 0.2 --use_pg</w:t>
      </w:r>
    </w:p>
    <w:p>
      <w:pPr>
        <w:pStyle w:val="Heading2"/>
      </w:pPr>
      <w:r>
        <w:t xml:space="preserve">Unified 5-fold Split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splits/sleepedf_subject_5fold_seed42.json — 78 Sleep-EDF subjects，subject 级 5-fold CV。所有模型在主结果表中使用相同的 split。</w:t>
      </w:r>
    </w:p>
    <w:p>
      <w:pPr>
        <w:pStyle w:val="Heading2"/>
      </w:pPr>
      <w:r>
        <w:t xml:space="preserve">Model Parameter Counts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Params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PhyGProNet (c4)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0.66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PhyGProNet (multi-band)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0.66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PhyG-B (4-level)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0.72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PhyG plan C (EEG+EOG)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0.75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AttnSleep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0.52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TinySleepNet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1.52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USleep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2.48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LaBraM-base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5.82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CBraMod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7.96 M</w:t>
            </w:r>
          </w:p>
        </w:tc>
      </w:tr>
      <w:tr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DeepSleepNet (PyTorch reimpl)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25.40 M</w:t>
            </w:r>
          </w:p>
        </w:tc>
      </w:tr>
    </w:tbl>
    <w:p>
      <w:pPr>
        <w:pStyle w:val="Heading2"/>
      </w:pPr>
      <w:r>
        <w:t xml:space="preserve">Compute Summary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硬件：2× RTX 4090（AutoDL 容器 A、B）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总挂钟时间：约 7 天，涵盖所有实验和可解释性分析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GitHub 上 ckpt 总大小：约 1 GB（LFS 跟踪）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仓库：https://github.com/forriver63/phygpronet-experiments（private）</w:t>
      </w:r>
    </w:p>
    <w:p>
      <w:r>
        <w:br w:type="page"/>
      </w:r>
    </w:p>
    <w:p>
      <w:pPr>
        <w:pStyle w:val="Heading1"/>
      </w:pPr>
      <w:r>
        <w:t xml:space="preserve">7. Paper Narrative</w:t>
      </w:r>
    </w:p>
    <w:p>
      <w:pPr>
        <w:pStyle w:val="Heading2"/>
      </w:pPr>
      <w:r>
        <w:t xml:space="preserve">Defendable Claims (with evidence)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PhyG 在统一公平协议下与顶级 sleep staging baseline（AttnSleep / DeepSleepNet / CBraMod / LaBraM）在 Sleep-EDF 上同档或更好。Paired t-test 显示无显著差异。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PhyG 提供可量化的可解释性，其他 baseline 都无法提供：100% spindle→N2 prototype 对齐、跨数据集 95% N3 prototype 一致性、跨 fold 83% N3 prototype 一致性、PG-R 图 95.8% within-class 边权重。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Mech 正则化是 cross-domain transfer 的核心引擎（Exp B：去掉后 SHHS 崩 15pt，in-domain 不变）。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PhyG 是最轻量级的有竞争力模型（0.66M 参数 vs DeepSleepNet 的 25M）。</w:t>
      </w:r>
    </w:p>
    <w:p>
      <w:pPr>
        <w:pStyle w:val="Heading2"/>
      </w:pPr>
      <w:r>
        <w:t xml:space="preserve">Limitations to Acknowledge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PhyG 没有获得 SHHS zero-shot SOTA；DeepSleepNet 的更大的 2-branch CNN 在跨数据集 transfer 上更好（0.546 vs PhyG 0.486）。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N1 F1 in-domain 通过 class-weighted 训练有改善（0.414），但 SHHS 上的 N1 F1 在所有模型上都很低（~0.05）—— 单通道 EEG 信号下 N1↔REM 的内在歧义。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架构扩展（multi-band、多模态 EOG、更深层次）全部都损害 cross-domain transfer —— PhyG 的优势在于简约 + 对齐，不在容量。</w:t>
      </w:r>
    </w:p>
    <w:p>
      <w:pPr>
        <w:pStyle w:val="Heading2"/>
      </w:pPr>
      <w:r>
        <w:t xml:space="preserve">Recommended Paper Framing</w:t>
      </w:r>
    </w:p>
    <w:p>
      <w:pPr>
        <w:spacing w:after="120"/>
      </w:pPr>
      <w:r>
        <w:rPr>
          <w:rFonts w:ascii="PingFang SC" w:cs="PingFang SC" w:eastAsia="PingFang SC" w:hAnsi="PingFang SC"/>
        </w:rPr>
        <w:t xml:space="preserve">PhyGProNet：'一个轻量、可解释的睡眠分期模型，其 prototype-physiology 对齐作为可转移的机制'。论文围绕可解释性 + transfer-friendly inductive bias 而非纯 SOTA 来定位。把 Exp B 作为标志性 ablation 来论证 mech reg 的设计动机。把 Exp A/C/F 作为机制证据（不是事后可视化）。</w:t>
      </w:r>
    </w:p>
    <w:p>
      <w:r>
        <w:br w:type="page"/>
      </w:r>
    </w:p>
    <w:p>
      <w:pPr>
        <w:pStyle w:val="Heading1"/>
      </w:pPr>
      <w:r>
        <w:t xml:space="preserve">8. Future Work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Domain Adaptation baseline（DANN、CORAL）—— 与显式 DA 方法的公平 benchmark，本研究未完成。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跨数据集多模态归一化 —— EOG 在 in-domain 帮助 PhyG，但因为通道命名和 amplitude 差异在 SHHS 上拖累。统一的 EOG 预处理 pipeline 可能在不牺牲 transfer 的前提下保留 in-domain 增益。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更大的 Sleep-EDF subject 池（Cassette + Telemetry）来测试泛化。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Continual learning：在小 SHHS 子集上 fine-tune PhyG，评估在 Sleep-EDF 上的保留性能。</w:t>
      </w:r>
    </w:p>
    <w:p>
      <w:pPr>
        <w:pStyle w:val="ListParagraph"/>
        <w:numPr>
          <w:ilvl w:val="0"/>
          <w:numId w:val="2"/>
        </w:numPr>
      </w:pPr>
      <w:r>
        <w:rPr>
          <w:rFonts w:ascii="PingFang SC" w:cs="PingFang SC" w:eastAsia="PingFang SC" w:hAnsi="PingFang SC"/>
        </w:rPr>
        <w:t xml:space="preserve">Spindle-detection 辅助损失（Plan B 子任务），因为当前 N2 ↔ spindle prototype 对齐比 N3 ↔ slowwave 弱。</w:t>
      </w:r>
    </w:p>
    <w:p>
      <w:pPr>
        <w:spacing w:after="120"/>
      </w:pPr>
      <w:r>
        <w:rPr>
          <w:rFonts w:ascii="PingFang SC" w:cs="PingFang SC" w:eastAsia="PingFang SC" w:hAnsi="PingFang SC"/>
          <w:i/>
          <w:iCs/>
          <w:color w:val="888888"/>
        </w:rPr>
        <w:t xml:space="preserve">— 报告完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44ef3c7794410e544eefd31a77422943fc291a.png"/><Relationship Id="rId8" Type="http://schemas.openxmlformats.org/officeDocument/2006/relationships/image" Target="media/dfb30c4727a3e56bb380a1049e40a77cdda0f414.png"/><Relationship Id="rId9" Type="http://schemas.openxmlformats.org/officeDocument/2006/relationships/image" Target="media/3cee11da2bcb411a88aa9c39a689d60122d977b8.png"/><Relationship Id="rId10" Type="http://schemas.openxmlformats.org/officeDocument/2006/relationships/image" Target="media/7e99dbcceb6f0e433c37ce13b71cb49a3762e1d4.png"/><Relationship Id="rId11" Type="http://schemas.openxmlformats.org/officeDocument/2006/relationships/image" Target="media/c06b674310f003ab94299ffd610c908c914ad80a.png"/><Relationship Id="rId12" Type="http://schemas.openxmlformats.org/officeDocument/2006/relationships/image" Target="media/dc5caabec68f92b5781b5d3cbbab53513c118df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2026-06-09T01:44:38.345Z</dcterms:created>
  <dcterms:modified xsi:type="dcterms:W3CDTF">2026-06-09T01:44:38.345Z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