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incomes required for a family in each county to be in each quintile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Percent of households with incomes above the threshold for Q1-Q5 for their county in the current year.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 we could measure the percent of households in Q1-Q5, depending on what is easiest to use in Tableau.  SEs should be the same for each of these measures.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1-year.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Demographic groups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Race/ethnicity of householder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of householder (age groups TBD)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gender analysis due to household-level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Years covered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2007-2016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communities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Standard PUMS peers (peer counties minus Roanoke)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PUMS data (all_pums_data.rds)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Quintile thresholds from B19080: HOUSEHOLD INCOME QUINTILE UPPER LIMITS (quintiles.zip)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template (Income by Quintiles.R)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Statistical comparisons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 score 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steps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the threshold .csv file with the AFF data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the pums data I provided and merge it to the threshold 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variables indicating whether each household has income above or below each threshold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demographic indicators for race/ethnicity and 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provided functions to create a table listing the percent of households with greater income than each quintile in each year/county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this table to create datasets for Tableau and statistical testing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zabeth Perkins Lees" w:id="0" w:date="2018-05-14T15:30:2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+cw.forsythfutures@gmail.com Is this just by demographic?  Otherwise, we would expect it it to line up with the quintiles?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Christopher Webb_</w:t>
      </w:r>
    </w:p>
  </w:comment>
  <w:comment w:author="Christopher Webb" w:id="1" w:date="2018-05-14T15:34:0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overall rates should be roughly 20/20/20/20.  The overall analysis would be replaced with commentary on what those quintiles are.  I have added that</w:t>
      </w:r>
    </w:p>
  </w:comment>
  <w:comment w:author="Elizabeth Perkins Lees" w:id="2" w:date="2018-05-14T15:30:39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+cw.forsythfutures@gmail.com What do these comparisons look like?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Christopher Webb_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