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right"/>
        <w:rPr>
          <w:sz w:val="24"/>
          <w:szCs w:val="24"/>
        </w:rPr>
      </w:pPr>
      <w:r w:rsidDel="00000000" w:rsidR="00000000" w:rsidRPr="00000000">
        <w:rPr>
          <w:sz w:val="24"/>
          <w:szCs w:val="24"/>
          <w:rtl w:val="0"/>
        </w:rPr>
        <w:t xml:space="preserve">Aamnah Izhar</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8"/>
          <w:szCs w:val="28"/>
        </w:rPr>
      </w:pPr>
      <w:r w:rsidDel="00000000" w:rsidR="00000000" w:rsidRPr="00000000">
        <w:rPr>
          <w:b w:val="1"/>
          <w:sz w:val="28"/>
          <w:szCs w:val="28"/>
          <w:rtl w:val="0"/>
        </w:rPr>
        <w:t xml:space="preserve">Facebook and Moodle Integration into Instructional Media Design Courses: A Comparative Analysis of Students’ Learning Experiences using the Community of Inquiry (CoI) Model</w:t>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In this article, it is explored how teaching students in Instruction Media Design courses with the use of Facebook and Moodle can benefit their overall learning experience. The study included multiple learning activities in order to determine whether students learned better when provided access to an online community to share their questions and ideas versus not having any such access. It was discovered from quantitative and qualitative analysis that students using either Moodle or Facebook had “similar perceptions of teaching and cognitive presence; however, Facebook users had a better social presence using the CoI model than their Moodle counterparts.” [Kazanidis, Pellas, Fotaris, Tsinakos, 2018] Facebook is a popular social media site, whereas as Moodle is predominantly a learning environment used for large classes. By studying and reviewing this article, I hope to find evidence that suggests that students excel when learning in communities. I will also explore how the availability of these social circles in school courses can help said students find people who share similar interests, or are in the same program, thus aiding in diminishing feelings of social isolation. </w:t>
      </w:r>
    </w:p>
    <w:p w:rsidR="00000000" w:rsidDel="00000000" w:rsidP="00000000" w:rsidRDefault="00000000" w:rsidRPr="00000000" w14:paraId="00000006">
      <w:pPr>
        <w:spacing w:line="240" w:lineRule="auto"/>
        <w:rPr>
          <w:i w:val="1"/>
          <w:sz w:val="24"/>
          <w:szCs w:val="24"/>
        </w:rPr>
      </w:pPr>
      <w:r w:rsidDel="00000000" w:rsidR="00000000" w:rsidRPr="00000000">
        <w:rPr>
          <w:sz w:val="24"/>
          <w:szCs w:val="24"/>
          <w:rtl w:val="0"/>
        </w:rPr>
        <w:t xml:space="preserve">Ioannis Kazanidis, Nikolaos Pellas, Panagiotis Fotaris, Avgoustos Tsinakos. 2018. “Facebook and Moodle Integration into Instructional Media Design Courses: A Comparative Analysis of Students’ Learning Experiences using the Community of Inquiry (CoI) Model.” </w:t>
      </w:r>
      <w:r w:rsidDel="00000000" w:rsidR="00000000" w:rsidRPr="00000000">
        <w:rPr>
          <w:i w:val="1"/>
          <w:sz w:val="24"/>
          <w:szCs w:val="24"/>
          <w:rtl w:val="0"/>
        </w:rPr>
        <w:t xml:space="preserve">International Journal of Human–Computer Interaction, Volume 34 Issue 10, May 2018.</w:t>
      </w:r>
    </w:p>
    <w:p w:rsidR="00000000" w:rsidDel="00000000" w:rsidP="00000000" w:rsidRDefault="00000000" w:rsidRPr="00000000" w14:paraId="00000007">
      <w:pPr>
        <w:spacing w:line="240" w:lineRule="auto"/>
        <w:rPr>
          <w:i w:val="1"/>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URL: https://www.tandfonline.com/doi/full/10.1080/10447318.2018.1471574?scroll=top&amp;needAccess=true</w:t>
      </w:r>
    </w:p>
    <w:p w:rsidR="00000000" w:rsidDel="00000000" w:rsidP="00000000" w:rsidRDefault="00000000" w:rsidRPr="00000000" w14:paraId="0000000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