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4C66" w14:textId="77777777" w:rsidR="00770458" w:rsidRPr="00770458" w:rsidRDefault="00770458" w:rsidP="00770458">
      <w:r w:rsidRPr="00770458">
        <w:t xml:space="preserve">In a post-paid utility context, a “theoretical credit limit” is best defined as the </w:t>
      </w:r>
      <w:r w:rsidRPr="00770458">
        <w:rPr>
          <w:b/>
          <w:bCs/>
        </w:rPr>
        <w:t>maximum unpaid exposure you are willing to carry</w:t>
      </w:r>
      <w:r w:rsidRPr="00770458">
        <w:t xml:space="preserve"> on an account </w:t>
      </w:r>
      <w:r w:rsidRPr="00770458">
        <w:rPr>
          <w:b/>
          <w:bCs/>
        </w:rPr>
        <w:t>before you must intervene</w:t>
      </w:r>
      <w:r w:rsidRPr="00770458">
        <w:t xml:space="preserve"> (reminder/PA/collections/restriction/disconnection), while staying within your risk appetite and regulatory constraints.</w:t>
      </w:r>
    </w:p>
    <w:p w14:paraId="0F9FBFF2" w14:textId="77777777" w:rsidR="00770458" w:rsidRPr="00770458" w:rsidRDefault="00770458" w:rsidP="00770458">
      <w:r w:rsidRPr="00770458">
        <w:t xml:space="preserve">There are two common ways to compute it: an </w:t>
      </w:r>
      <w:r w:rsidRPr="00770458">
        <w:rPr>
          <w:b/>
          <w:bCs/>
        </w:rPr>
        <w:t>exposure-based limit</w:t>
      </w:r>
      <w:r w:rsidRPr="00770458">
        <w:t xml:space="preserve"> (operational) and a </w:t>
      </w:r>
      <w:r w:rsidRPr="00770458">
        <w:rPr>
          <w:b/>
          <w:bCs/>
        </w:rPr>
        <w:t>risk-based limit</w:t>
      </w:r>
      <w:r w:rsidRPr="00770458">
        <w:t xml:space="preserve"> (credit economics). In practice, you typically use both: exposure-based to size the limit, risk-based to adjust by customer risk tier and set caps/floors.</w:t>
      </w:r>
    </w:p>
    <w:p w14:paraId="7E93670D" w14:textId="77777777" w:rsidR="00770458" w:rsidRPr="00770458" w:rsidRDefault="00770458" w:rsidP="00770458">
      <w:r w:rsidRPr="00770458">
        <w:pict w14:anchorId="55F76F83">
          <v:rect id="_x0000_i1061" style="width:0;height:1.5pt" o:hralign="center" o:hrstd="t" o:hr="t" fillcolor="#a0a0a0" stroked="f"/>
        </w:pict>
      </w:r>
    </w:p>
    <w:p w14:paraId="77E54A24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1) Exposure-based (what the customer can accrue before you can realistically act)</w:t>
      </w:r>
    </w:p>
    <w:p w14:paraId="325A40FD" w14:textId="77777777" w:rsidR="00770458" w:rsidRPr="00770458" w:rsidRDefault="00770458" w:rsidP="00770458">
      <w:r w:rsidRPr="00770458">
        <w:t>For post-paid billing, the customer can consume services for a while before you can even bill them, and then you typically allow time to pay. That creates an “unavoidable exposure window.”</w:t>
      </w:r>
    </w:p>
    <w:p w14:paraId="4B7BF1C4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Step A — Define the exposure window (days)</w:t>
      </w:r>
    </w:p>
    <w:p w14:paraId="6CF6CD75" w14:textId="77777777" w:rsidR="00770458" w:rsidRPr="00770458" w:rsidRDefault="00770458" w:rsidP="00770458">
      <w:r w:rsidRPr="00770458">
        <w:t>Let:</w:t>
      </w:r>
    </w:p>
    <w:p w14:paraId="5334F8DD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B</w:t>
      </w:r>
      <w:r w:rsidRPr="00770458">
        <w:t xml:space="preserve"> = billing period length (days) (e.g., 30 for monthly, 90 for quarterly)</w:t>
      </w:r>
    </w:p>
    <w:p w14:paraId="323C1DC3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L</w:t>
      </w:r>
      <w:r w:rsidRPr="00770458">
        <w:t xml:space="preserve"> = meter-read / consumption recognition lag (days) (if applicable)</w:t>
      </w:r>
    </w:p>
    <w:p w14:paraId="474E95C2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P</w:t>
      </w:r>
      <w:r w:rsidRPr="00770458">
        <w:t xml:space="preserve"> = bill processing + delivery lag (days) (bill creation + mail/email delivery)</w:t>
      </w:r>
    </w:p>
    <w:p w14:paraId="2CD41E1A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T</w:t>
      </w:r>
      <w:r w:rsidRPr="00770458">
        <w:t xml:space="preserve"> = payment terms (days from issue to due date)</w:t>
      </w:r>
    </w:p>
    <w:p w14:paraId="60939121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G</w:t>
      </w:r>
      <w:r w:rsidRPr="00770458">
        <w:t xml:space="preserve"> = grace / realistic action lag (days) (time from due date to first meaningful intervention)</w:t>
      </w:r>
    </w:p>
    <w:p w14:paraId="183375FC" w14:textId="77777777" w:rsidR="00770458" w:rsidRPr="00770458" w:rsidRDefault="00770458" w:rsidP="00770458">
      <w:pPr>
        <w:numPr>
          <w:ilvl w:val="0"/>
          <w:numId w:val="1"/>
        </w:numPr>
      </w:pPr>
      <w:r w:rsidRPr="00770458">
        <w:rPr>
          <w:b/>
          <w:bCs/>
        </w:rPr>
        <w:t>S</w:t>
      </w:r>
      <w:r w:rsidRPr="00770458">
        <w:t xml:space="preserve"> = safety buffer (days) (variance, operational delay, disputes)</w:t>
      </w:r>
    </w:p>
    <w:p w14:paraId="0941F39B" w14:textId="77777777" w:rsidR="00770458" w:rsidRPr="00770458" w:rsidRDefault="00770458" w:rsidP="00770458">
      <w:r w:rsidRPr="00770458">
        <w:t xml:space="preserve">Then the </w:t>
      </w:r>
      <w:r w:rsidRPr="00770458">
        <w:rPr>
          <w:b/>
          <w:bCs/>
        </w:rPr>
        <w:t>exposure window</w:t>
      </w:r>
      <w:r w:rsidRPr="00770458">
        <w:t>:</w:t>
      </w:r>
    </w:p>
    <w:p w14:paraId="422B377B" w14:textId="46395BC5" w:rsidR="00770458" w:rsidRPr="00770458" w:rsidRDefault="00770458" w:rsidP="00770458">
      <m:oMathPara>
        <m:oMath>
          <m:r>
            <w:rPr>
              <w:rFonts w:ascii="Cambria Math" w:hAnsi="Cambria Math"/>
            </w:rPr>
            <m:t>W=B+L+P+T+G+S</m:t>
          </m:r>
          <m:r>
            <w:rPr>
              <w:i/>
            </w:rPr>
            <w:br/>
          </m:r>
        </m:oMath>
      </m:oMathPara>
    </w:p>
    <w:p w14:paraId="0EFC500A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Step B — Estimate expected daily charge</w:t>
      </w:r>
    </w:p>
    <w:p w14:paraId="009747C2" w14:textId="77777777" w:rsidR="00770458" w:rsidRPr="00770458" w:rsidRDefault="00770458" w:rsidP="00770458">
      <w:r w:rsidRPr="00770458">
        <w:t>Let:</w:t>
      </w:r>
    </w:p>
    <w:p w14:paraId="46A892D3" w14:textId="77777777" w:rsidR="00770458" w:rsidRPr="00770458" w:rsidRDefault="00770458" w:rsidP="00770458">
      <w:pPr>
        <w:numPr>
          <w:ilvl w:val="0"/>
          <w:numId w:val="2"/>
        </w:numPr>
      </w:pPr>
      <w:r w:rsidRPr="00770458">
        <w:rPr>
          <w:b/>
          <w:bCs/>
        </w:rPr>
        <w:t>F</w:t>
      </w:r>
      <w:r w:rsidRPr="00770458">
        <w:t xml:space="preserve"> = fixed charge per day (or fixed charge per period ÷ days)</w:t>
      </w:r>
    </w:p>
    <w:p w14:paraId="4C158F14" w14:textId="77777777" w:rsidR="00770458" w:rsidRPr="00770458" w:rsidRDefault="00770458" w:rsidP="00770458">
      <w:pPr>
        <w:numPr>
          <w:ilvl w:val="0"/>
          <w:numId w:val="2"/>
        </w:numPr>
      </w:pPr>
      <w:r w:rsidRPr="00770458">
        <w:rPr>
          <w:b/>
          <w:bCs/>
        </w:rPr>
        <w:t>u</w:t>
      </w:r>
      <w:r w:rsidRPr="00770458">
        <w:t xml:space="preserve"> = expected daily usage (</w:t>
      </w:r>
      <w:proofErr w:type="spellStart"/>
      <w:r w:rsidRPr="00770458">
        <w:t>kL</w:t>
      </w:r>
      <w:proofErr w:type="spellEnd"/>
      <w:r w:rsidRPr="00770458">
        <w:t>/day)</w:t>
      </w:r>
    </w:p>
    <w:p w14:paraId="721EE32E" w14:textId="77777777" w:rsidR="00770458" w:rsidRPr="00770458" w:rsidRDefault="00770458" w:rsidP="00770458">
      <w:pPr>
        <w:numPr>
          <w:ilvl w:val="0"/>
          <w:numId w:val="2"/>
        </w:numPr>
      </w:pPr>
      <w:r w:rsidRPr="00770458">
        <w:rPr>
          <w:b/>
          <w:bCs/>
        </w:rPr>
        <w:t>r</w:t>
      </w:r>
      <w:r w:rsidRPr="00770458">
        <w:t xml:space="preserve"> = variable rate ($/</w:t>
      </w:r>
      <w:proofErr w:type="spellStart"/>
      <w:r w:rsidRPr="00770458">
        <w:t>kL</w:t>
      </w:r>
      <w:proofErr w:type="spellEnd"/>
      <w:r w:rsidRPr="00770458">
        <w:t>), including tier effects if you can estimate them</w:t>
      </w:r>
    </w:p>
    <w:p w14:paraId="25FE51A6" w14:textId="77777777" w:rsidR="00770458" w:rsidRPr="00770458" w:rsidRDefault="00770458" w:rsidP="00770458">
      <w:pPr>
        <w:numPr>
          <w:ilvl w:val="0"/>
          <w:numId w:val="2"/>
        </w:numPr>
      </w:pPr>
      <w:r w:rsidRPr="00770458">
        <w:rPr>
          <w:b/>
          <w:bCs/>
        </w:rPr>
        <w:lastRenderedPageBreak/>
        <w:t>c</w:t>
      </w:r>
      <w:r w:rsidRPr="00770458">
        <w:t xml:space="preserve"> = expected daily adjustments/fees (optional; often set to 0 for “clean” exposure)</w:t>
      </w:r>
    </w:p>
    <w:p w14:paraId="288F238D" w14:textId="77777777" w:rsidR="00770458" w:rsidRPr="00770458" w:rsidRDefault="00770458" w:rsidP="00770458">
      <w:r w:rsidRPr="00770458">
        <w:t>Expected daily charge:</w:t>
      </w:r>
    </w:p>
    <w:p w14:paraId="16538E53" w14:textId="24500277" w:rsidR="00770458" w:rsidRPr="00770458" w:rsidRDefault="00770458" w:rsidP="00770458">
      <m:oMathPara>
        <m:oMath>
          <m:r>
            <w:rPr>
              <w:rFonts w:ascii="Cambria Math" w:hAnsi="Cambria Math"/>
            </w:rPr>
            <m:t>μ=F+(u⋅r)+c</m:t>
          </m:r>
          <m:r>
            <w:rPr>
              <w:i/>
            </w:rPr>
            <w:br/>
          </m:r>
        </m:oMath>
      </m:oMathPara>
    </w:p>
    <w:p w14:paraId="1E87BF2D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Step C — Add volatility buffer (bill shock / seasonality)</w:t>
      </w:r>
    </w:p>
    <w:p w14:paraId="58BDDD97" w14:textId="77777777" w:rsidR="00770458" w:rsidRPr="00770458" w:rsidRDefault="00770458" w:rsidP="00770458">
      <w:r w:rsidRPr="00770458">
        <w:t xml:space="preserve">Usage is not constant. If you can estimate the standard deviation of daily charges </w:t>
      </w:r>
      <w:r w:rsidRPr="00770458">
        <w:rPr>
          <w:b/>
          <w:bCs/>
        </w:rPr>
        <w:t>σ</w:t>
      </w:r>
      <w:r w:rsidRPr="00770458">
        <w:t>, you can set a buffer using a chosen confidence level (e.g., 95% or 99%):</w:t>
      </w:r>
    </w:p>
    <w:p w14:paraId="06EAC532" w14:textId="0FC98CEC" w:rsidR="00770458" w:rsidRPr="00770458" w:rsidRDefault="00770458" w:rsidP="00770458">
      <m:oMathPara>
        <m:oMath>
          <m:r>
            <m:rPr>
              <m:nor/>
            </m:rPr>
            <m:t>Buffer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⋅σ⋅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</m:t>
              </m:r>
            </m:e>
          </m:rad>
          <m:r>
            <w:br/>
          </m:r>
        </m:oMath>
      </m:oMathPara>
    </w:p>
    <w:p w14:paraId="779BD2BF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Exposure-based theoretical limit</w:t>
      </w:r>
    </w:p>
    <w:p w14:paraId="2FF0E372" w14:textId="3EB2F969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m:rPr>
                  <m:nor/>
                </m:rPr>
                <m:t>exposure</m:t>
              </m:r>
            </m:sub>
          </m:sSub>
          <m:r>
            <w:rPr>
              <w:rFonts w:ascii="Cambria Math" w:hAnsi="Cambria Math"/>
            </w:rPr>
            <m:t>=μ⋅W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⋅σ⋅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</m:t>
              </m:r>
            </m:e>
          </m:rad>
          <m:r>
            <w:br/>
          </m:r>
        </m:oMath>
      </m:oMathPara>
    </w:p>
    <w:p w14:paraId="47526235" w14:textId="77777777" w:rsidR="00770458" w:rsidRPr="00770458" w:rsidRDefault="00770458" w:rsidP="00770458">
      <w:r w:rsidRPr="00770458">
        <w:t>If you want it simpler (no σ), use a policy uplift:</w:t>
      </w:r>
    </w:p>
    <w:p w14:paraId="3E8E6445" w14:textId="21F88F91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m:rPr>
                  <m:nor/>
                </m:rPr>
                <m:t>exposure</m:t>
              </m:r>
            </m:sub>
          </m:sSub>
          <m:r>
            <w:rPr>
              <w:rFonts w:ascii="Cambria Math" w:hAnsi="Cambria Math"/>
            </w:rPr>
            <m:t>=(μ⋅W)⋅(1+</m:t>
          </m:r>
          <m:r>
            <m:rPr>
              <m:nor/>
            </m:rPr>
            <m:t>shock_factor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A97CCF" w14:textId="77777777" w:rsidR="00770458" w:rsidRPr="00770458" w:rsidRDefault="00770458" w:rsidP="00770458">
      <w:r w:rsidRPr="00770458">
        <w:t xml:space="preserve">where </w:t>
      </w:r>
      <w:proofErr w:type="spellStart"/>
      <w:r w:rsidRPr="00770458">
        <w:t>shock_factor</w:t>
      </w:r>
      <w:proofErr w:type="spellEnd"/>
      <w:r w:rsidRPr="00770458">
        <w:t xml:space="preserve"> might be 10–30% depending on how volatile/seasonal usage is.</w:t>
      </w:r>
    </w:p>
    <w:p w14:paraId="3C2617EC" w14:textId="77777777" w:rsidR="00770458" w:rsidRPr="00770458" w:rsidRDefault="00770458" w:rsidP="00770458">
      <w:r w:rsidRPr="00770458">
        <w:pict w14:anchorId="107DE536">
          <v:rect id="_x0000_i1062" style="width:0;height:1.5pt" o:hralign="center" o:hrstd="t" o:hr="t" fillcolor="#a0a0a0" stroked="f"/>
        </w:pict>
      </w:r>
    </w:p>
    <w:p w14:paraId="1C7082FE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 xml:space="preserve">2) Risk-based (credit economics: cap expected loss at </w:t>
      </w:r>
      <w:proofErr w:type="gramStart"/>
      <w:r w:rsidRPr="00770458">
        <w:rPr>
          <w:b/>
          <w:bCs/>
        </w:rPr>
        <w:t>your risk</w:t>
      </w:r>
      <w:proofErr w:type="gramEnd"/>
      <w:r w:rsidRPr="00770458">
        <w:rPr>
          <w:b/>
          <w:bCs/>
        </w:rPr>
        <w:t xml:space="preserve"> appetite)</w:t>
      </w:r>
    </w:p>
    <w:p w14:paraId="235DFDFA" w14:textId="77777777" w:rsidR="00770458" w:rsidRPr="00770458" w:rsidRDefault="00770458" w:rsidP="00770458">
      <w:r w:rsidRPr="00770458">
        <w:t>Utilities often don’t “price” credit, but you still have an internal risk appetite: “We will not carry more than $X expected loss per account (or per segment).”</w:t>
      </w:r>
    </w:p>
    <w:p w14:paraId="67E52008" w14:textId="77777777" w:rsidR="00770458" w:rsidRPr="00770458" w:rsidRDefault="00770458" w:rsidP="00770458">
      <w:r w:rsidRPr="00770458">
        <w:t>Let:</w:t>
      </w:r>
    </w:p>
    <w:p w14:paraId="5C0AC64B" w14:textId="77777777" w:rsidR="00770458" w:rsidRPr="00770458" w:rsidRDefault="00770458" w:rsidP="00770458">
      <w:pPr>
        <w:numPr>
          <w:ilvl w:val="0"/>
          <w:numId w:val="3"/>
        </w:numPr>
      </w:pPr>
      <w:proofErr w:type="gramStart"/>
      <w:r w:rsidRPr="00770458">
        <w:rPr>
          <w:b/>
          <w:bCs/>
        </w:rPr>
        <w:t>PD</w:t>
      </w:r>
      <w:proofErr w:type="gramEnd"/>
      <w:r w:rsidRPr="00770458">
        <w:t xml:space="preserve"> = probability of non-payment/default over the relevant horizon (from your propensity-to-pay / collections model)</w:t>
      </w:r>
    </w:p>
    <w:p w14:paraId="246620F6" w14:textId="77777777" w:rsidR="00770458" w:rsidRPr="00770458" w:rsidRDefault="00770458" w:rsidP="00770458">
      <w:pPr>
        <w:numPr>
          <w:ilvl w:val="0"/>
          <w:numId w:val="3"/>
        </w:numPr>
      </w:pPr>
      <w:r w:rsidRPr="00770458">
        <w:rPr>
          <w:b/>
          <w:bCs/>
        </w:rPr>
        <w:t>LGD</w:t>
      </w:r>
      <w:r w:rsidRPr="00770458">
        <w:t xml:space="preserve"> = loss given default (1 − recoveries), </w:t>
      </w:r>
      <w:proofErr w:type="gramStart"/>
      <w:r w:rsidRPr="00770458">
        <w:t>net</w:t>
      </w:r>
      <w:proofErr w:type="gramEnd"/>
      <w:r w:rsidRPr="00770458">
        <w:t xml:space="preserve"> of write-offs, agency recoveries, fees, etc.</w:t>
      </w:r>
    </w:p>
    <w:p w14:paraId="7D0B3E8D" w14:textId="77777777" w:rsidR="00770458" w:rsidRPr="00770458" w:rsidRDefault="00770458" w:rsidP="00770458">
      <w:pPr>
        <w:numPr>
          <w:ilvl w:val="0"/>
          <w:numId w:val="3"/>
        </w:numPr>
      </w:pPr>
      <w:proofErr w:type="spellStart"/>
      <w:r w:rsidRPr="00770458">
        <w:rPr>
          <w:b/>
          <w:bCs/>
        </w:rPr>
        <w:t>EL_cap</w:t>
      </w:r>
      <w:proofErr w:type="spellEnd"/>
      <w:r w:rsidRPr="00770458">
        <w:t xml:space="preserve"> = maximum expected loss you’re willing to accept for that account/segment over the horizon</w:t>
      </w:r>
    </w:p>
    <w:p w14:paraId="336BA87A" w14:textId="77777777" w:rsidR="00770458" w:rsidRPr="00770458" w:rsidRDefault="00770458" w:rsidP="00770458">
      <w:r w:rsidRPr="00770458">
        <w:t>Expected loss:</w:t>
      </w:r>
    </w:p>
    <w:p w14:paraId="442B1089" w14:textId="04214572" w:rsidR="00770458" w:rsidRPr="00770458" w:rsidRDefault="00770458" w:rsidP="00770458">
      <m:oMathPara>
        <m:oMath>
          <m:r>
            <w:rPr>
              <w:rFonts w:ascii="Cambria Math" w:hAnsi="Cambria Math"/>
            </w:rPr>
            <w:lastRenderedPageBreak/>
            <m:t>EL=PD⋅LGD⋅EAD</m:t>
          </m:r>
          <m:r>
            <w:rPr>
              <w:i/>
            </w:rPr>
            <w:br/>
          </m:r>
        </m:oMath>
      </m:oMathPara>
    </w:p>
    <w:p w14:paraId="432624CC" w14:textId="77777777" w:rsidR="00770458" w:rsidRPr="00770458" w:rsidRDefault="00770458" w:rsidP="00770458">
      <w:r w:rsidRPr="00770458">
        <w:t xml:space="preserve">where </w:t>
      </w:r>
      <w:r w:rsidRPr="00770458">
        <w:rPr>
          <w:b/>
          <w:bCs/>
        </w:rPr>
        <w:t>EAD</w:t>
      </w:r>
      <w:r w:rsidRPr="00770458">
        <w:t xml:space="preserve"> (exposure at default) is effectively the limit you allow.</w:t>
      </w:r>
    </w:p>
    <w:p w14:paraId="295E7576" w14:textId="77777777" w:rsidR="00770458" w:rsidRPr="00770458" w:rsidRDefault="00770458" w:rsidP="00770458">
      <w:proofErr w:type="gramStart"/>
      <w:r w:rsidRPr="00770458">
        <w:t>So</w:t>
      </w:r>
      <w:proofErr w:type="gramEnd"/>
      <w:r w:rsidRPr="00770458">
        <w:t xml:space="preserve"> the </w:t>
      </w:r>
      <w:r w:rsidRPr="00770458">
        <w:rPr>
          <w:b/>
          <w:bCs/>
        </w:rPr>
        <w:t>risk-based limit</w:t>
      </w:r>
      <w:r w:rsidRPr="00770458">
        <w:t>:</w:t>
      </w:r>
    </w:p>
    <w:p w14:paraId="27CCF10E" w14:textId="1D58C2A4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m:rPr>
                  <m:nor/>
                </m:rPr>
                <m:t>risk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cap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PD⋅LGD</m:t>
              </m:r>
            </m:den>
          </m:f>
          <m:r>
            <w:br/>
          </m:r>
        </m:oMath>
      </m:oMathPara>
    </w:p>
    <w:p w14:paraId="7C4880F8" w14:textId="77777777" w:rsidR="00770458" w:rsidRPr="00770458" w:rsidRDefault="00770458" w:rsidP="00770458">
      <w:r w:rsidRPr="00770458">
        <w:pict w14:anchorId="48CEFC51">
          <v:rect id="_x0000_i1063" style="width:0;height:1.5pt" o:hralign="center" o:hrstd="t" o:hr="t" fillcolor="#a0a0a0" stroked="f"/>
        </w:pict>
      </w:r>
    </w:p>
    <w:p w14:paraId="0488B6F6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3) Combine them into a single “theoretical credit limit”</w:t>
      </w:r>
    </w:p>
    <w:p w14:paraId="0BDFC16E" w14:textId="77777777" w:rsidR="00770458" w:rsidRPr="00770458" w:rsidRDefault="00770458" w:rsidP="00770458">
      <w:r w:rsidRPr="00770458">
        <w:t>A practical combined limit is:</w:t>
      </w:r>
    </w:p>
    <w:p w14:paraId="220C4612" w14:textId="43089F1F" w:rsidR="00770458" w:rsidRPr="00770458" w:rsidRDefault="00770458" w:rsidP="00770458">
      <m:oMathPara>
        <m:oMath>
          <m:r>
            <m:rPr>
              <m:nor/>
            </m:rPr>
            <m:t>Limit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m:rPr>
                  <m:nor/>
                </m:rPr>
                <m:t>exposure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m:rPr>
                  <m:nor/>
                </m:rPr>
                <m:t>risk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w:proofErr w:type="spellStart"/>
          <m:r>
            <m:rPr>
              <m:nor/>
            </m:rPr>
            <m:t>PolicyMax</m:t>
          </m:r>
          <w:proofErr w:type="spellEnd"/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BE8E15A" w14:textId="77777777" w:rsidR="00770458" w:rsidRPr="00770458" w:rsidRDefault="00770458" w:rsidP="00770458">
      <w:r w:rsidRPr="00770458">
        <w:t>with optional floors (e.g., minimum limit for essential supply or regulated protections).</w:t>
      </w:r>
    </w:p>
    <w:p w14:paraId="401A181B" w14:textId="77777777" w:rsidR="00770458" w:rsidRPr="00770458" w:rsidRDefault="00770458" w:rsidP="00770458">
      <w:r w:rsidRPr="00770458">
        <w:t>Also define the operational trigger:</w:t>
      </w:r>
    </w:p>
    <w:p w14:paraId="441B988D" w14:textId="77777777" w:rsidR="00770458" w:rsidRPr="00770458" w:rsidRDefault="00770458" w:rsidP="00770458">
      <w:pPr>
        <w:numPr>
          <w:ilvl w:val="0"/>
          <w:numId w:val="4"/>
        </w:numPr>
      </w:pPr>
      <w:r w:rsidRPr="00770458">
        <w:rPr>
          <w:b/>
          <w:bCs/>
        </w:rPr>
        <w:t>Intervention threshold</w:t>
      </w:r>
      <w:r w:rsidRPr="00770458">
        <w:t xml:space="preserve"> = some percentage of Limit (e.g., 70–90%) at which reminders/PA outreach starts</w:t>
      </w:r>
    </w:p>
    <w:p w14:paraId="71B843C5" w14:textId="77777777" w:rsidR="00770458" w:rsidRPr="00770458" w:rsidRDefault="00770458" w:rsidP="00770458">
      <w:pPr>
        <w:numPr>
          <w:ilvl w:val="0"/>
          <w:numId w:val="4"/>
        </w:numPr>
      </w:pPr>
      <w:r w:rsidRPr="00770458">
        <w:rPr>
          <w:b/>
          <w:bCs/>
        </w:rPr>
        <w:t>Hard stop threshold</w:t>
      </w:r>
      <w:r w:rsidRPr="00770458">
        <w:t xml:space="preserve"> (if permitted) = Limit itself or slightly above, depending on your compliance obligations</w:t>
      </w:r>
    </w:p>
    <w:p w14:paraId="450CC1A5" w14:textId="77777777" w:rsidR="00770458" w:rsidRPr="00770458" w:rsidRDefault="00770458" w:rsidP="00770458">
      <w:r w:rsidRPr="00770458">
        <w:pict w14:anchorId="47B29601">
          <v:rect id="_x0000_i1064" style="width:0;height:1.5pt" o:hralign="center" o:hrstd="t" o:hr="t" fillcolor="#a0a0a0" stroked="f"/>
        </w:pict>
      </w:r>
    </w:p>
    <w:p w14:paraId="156DB222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4) Worked example (illustrative)</w:t>
      </w:r>
    </w:p>
    <w:p w14:paraId="2C577800" w14:textId="77777777" w:rsidR="00770458" w:rsidRPr="00770458" w:rsidRDefault="00770458" w:rsidP="00770458">
      <w:r w:rsidRPr="00770458">
        <w:t>Assume:</w:t>
      </w:r>
    </w:p>
    <w:p w14:paraId="32A373F0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Monthly billing: </w:t>
      </w:r>
      <w:r w:rsidRPr="00770458">
        <w:rPr>
          <w:b/>
          <w:bCs/>
        </w:rPr>
        <w:t>B = 30</w:t>
      </w:r>
    </w:p>
    <w:p w14:paraId="43A39328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Meter lag: </w:t>
      </w:r>
      <w:r w:rsidRPr="00770458">
        <w:rPr>
          <w:b/>
          <w:bCs/>
        </w:rPr>
        <w:t>L = 5</w:t>
      </w:r>
    </w:p>
    <w:p w14:paraId="75513E9E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Processing/delivery: </w:t>
      </w:r>
      <w:r w:rsidRPr="00770458">
        <w:rPr>
          <w:b/>
          <w:bCs/>
        </w:rPr>
        <w:t>P = 2</w:t>
      </w:r>
    </w:p>
    <w:p w14:paraId="48DC327A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Terms: </w:t>
      </w:r>
      <w:r w:rsidRPr="00770458">
        <w:rPr>
          <w:b/>
          <w:bCs/>
        </w:rPr>
        <w:t>T = 14</w:t>
      </w:r>
    </w:p>
    <w:p w14:paraId="42894E8F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Grace to act: </w:t>
      </w:r>
      <w:r w:rsidRPr="00770458">
        <w:rPr>
          <w:b/>
          <w:bCs/>
        </w:rPr>
        <w:t>G = 7</w:t>
      </w:r>
    </w:p>
    <w:p w14:paraId="28978E6E" w14:textId="77777777" w:rsidR="00770458" w:rsidRPr="00770458" w:rsidRDefault="00770458" w:rsidP="00770458">
      <w:pPr>
        <w:numPr>
          <w:ilvl w:val="0"/>
          <w:numId w:val="5"/>
        </w:numPr>
      </w:pPr>
      <w:r w:rsidRPr="00770458">
        <w:t xml:space="preserve">Safety buffer: </w:t>
      </w:r>
      <w:r w:rsidRPr="00770458">
        <w:rPr>
          <w:b/>
          <w:bCs/>
        </w:rPr>
        <w:t>S = 2</w:t>
      </w:r>
    </w:p>
    <w:p w14:paraId="593FDA91" w14:textId="75B25C8E" w:rsidR="00770458" w:rsidRPr="00770458" w:rsidRDefault="00770458" w:rsidP="00770458">
      <w:r w:rsidRPr="00770458">
        <w:t xml:space="preserve">So </w:t>
      </w:r>
      <m:oMath>
        <m:r>
          <w:rPr>
            <w:rFonts w:ascii="Cambria Math" w:hAnsi="Cambria Math"/>
          </w:rPr>
          <m:t>W=30+5+2+14+7+2=60</m:t>
        </m:r>
      </m:oMath>
      <w:r w:rsidRPr="00770458">
        <w:t>days.</w:t>
      </w:r>
    </w:p>
    <w:p w14:paraId="01B0C6E5" w14:textId="77777777" w:rsidR="00770458" w:rsidRPr="00770458" w:rsidRDefault="00770458" w:rsidP="00770458">
      <w:r w:rsidRPr="00770458">
        <w:t>Expected daily charge:</w:t>
      </w:r>
    </w:p>
    <w:p w14:paraId="75CAE6FA" w14:textId="77777777" w:rsidR="00770458" w:rsidRPr="00770458" w:rsidRDefault="00770458" w:rsidP="00770458">
      <w:pPr>
        <w:numPr>
          <w:ilvl w:val="0"/>
          <w:numId w:val="6"/>
        </w:numPr>
      </w:pPr>
      <w:r w:rsidRPr="00770458">
        <w:lastRenderedPageBreak/>
        <w:t>Fixed $1.20/day</w:t>
      </w:r>
    </w:p>
    <w:p w14:paraId="040BEFF9" w14:textId="61BBED1E" w:rsidR="00770458" w:rsidRPr="00770458" w:rsidRDefault="00770458" w:rsidP="00770458">
      <w:pPr>
        <w:numPr>
          <w:ilvl w:val="0"/>
          <w:numId w:val="6"/>
        </w:numPr>
      </w:pPr>
      <w:r w:rsidRPr="00770458">
        <w:t>Variable $2.00/day</w:t>
      </w:r>
      <w:r w:rsidRPr="00770458">
        <w:br/>
        <w:t xml:space="preserve">So </w:t>
      </w:r>
      <m:oMath>
        <m:r>
          <w:rPr>
            <w:rFonts w:ascii="Cambria Math" w:hAnsi="Cambria Math"/>
          </w:rPr>
          <m:t>μ=3.20</m:t>
        </m:r>
      </m:oMath>
      <w:r w:rsidRPr="00770458">
        <w:t>per day.</w:t>
      </w:r>
    </w:p>
    <w:p w14:paraId="5901E445" w14:textId="2D2AB5DF" w:rsidR="00770458" w:rsidRPr="00770458" w:rsidRDefault="00770458" w:rsidP="00770458">
      <w:r w:rsidRPr="00770458">
        <w:t xml:space="preserve">Base exposure: </w:t>
      </w:r>
      <m:oMath>
        <m:r>
          <w:rPr>
            <w:rFonts w:ascii="Cambria Math" w:hAnsi="Cambria Math"/>
          </w:rPr>
          <m:t>3.20×60=</m:t>
        </m:r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192</m:t>
        </m:r>
      </m:oMath>
    </w:p>
    <w:p w14:paraId="389F097A" w14:textId="4FD3E274" w:rsidR="00770458" w:rsidRPr="00770458" w:rsidRDefault="00770458" w:rsidP="00770458">
      <w:r w:rsidRPr="00770458">
        <w:t>If daily charge volatility σ is $1.00 and you want 95% confidence (z≈1.645):</w:t>
      </w:r>
      <w:r w:rsidRPr="00770458">
        <w:br/>
        <w:t xml:space="preserve">Buffer </w:t>
      </w:r>
      <m:oMath>
        <m:r>
          <w:rPr>
            <w:rFonts w:ascii="Cambria Math" w:hAnsi="Cambria Math"/>
          </w:rPr>
          <m:t>=1.645×1.00×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60</m:t>
            </m:r>
          </m:e>
        </m:rad>
        <m:r>
          <w:rPr>
            <w:rFonts w:ascii="Cambria Math" w:hAnsi="Cambria Math"/>
          </w:rPr>
          <m:t>≈1.645×7.746≈</m:t>
        </m:r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12.74</m:t>
        </m:r>
      </m:oMath>
    </w:p>
    <w:p w14:paraId="483B6210" w14:textId="77777777" w:rsidR="00770458" w:rsidRPr="00770458" w:rsidRDefault="00770458" w:rsidP="00770458">
      <w:r w:rsidRPr="00770458">
        <w:t>Exposure-based limit ≈ $205.</w:t>
      </w:r>
    </w:p>
    <w:p w14:paraId="292DEA5D" w14:textId="77777777" w:rsidR="00770458" w:rsidRPr="00770458" w:rsidRDefault="00770458" w:rsidP="00770458">
      <w:r w:rsidRPr="00770458">
        <w:t>Risk-based:</w:t>
      </w:r>
    </w:p>
    <w:p w14:paraId="6184B080" w14:textId="77777777" w:rsidR="00770458" w:rsidRPr="00770458" w:rsidRDefault="00770458" w:rsidP="00770458">
      <w:pPr>
        <w:numPr>
          <w:ilvl w:val="0"/>
          <w:numId w:val="7"/>
        </w:numPr>
      </w:pPr>
      <w:proofErr w:type="gramStart"/>
      <w:r w:rsidRPr="00770458">
        <w:t>PD</w:t>
      </w:r>
      <w:proofErr w:type="gramEnd"/>
      <w:r w:rsidRPr="00770458">
        <w:t xml:space="preserve"> = 8%</w:t>
      </w:r>
    </w:p>
    <w:p w14:paraId="3A73F99D" w14:textId="77777777" w:rsidR="00770458" w:rsidRPr="00770458" w:rsidRDefault="00770458" w:rsidP="00770458">
      <w:pPr>
        <w:numPr>
          <w:ilvl w:val="0"/>
          <w:numId w:val="7"/>
        </w:numPr>
      </w:pPr>
      <w:r w:rsidRPr="00770458">
        <w:t>LGD = 70%</w:t>
      </w:r>
    </w:p>
    <w:p w14:paraId="0E3BD115" w14:textId="77777777" w:rsidR="00770458" w:rsidRPr="00770458" w:rsidRDefault="00770458" w:rsidP="00770458">
      <w:pPr>
        <w:numPr>
          <w:ilvl w:val="0"/>
          <w:numId w:val="7"/>
        </w:numPr>
      </w:pPr>
      <w:proofErr w:type="spellStart"/>
      <w:r w:rsidRPr="00770458">
        <w:t>EL_cap</w:t>
      </w:r>
      <w:proofErr w:type="spellEnd"/>
      <w:r w:rsidRPr="00770458">
        <w:t xml:space="preserve"> = $5 per account per horizon</w:t>
      </w:r>
    </w:p>
    <w:p w14:paraId="27D0CC53" w14:textId="1486D9AA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Limit</m:t>
              </m:r>
            </m:e>
            <m:sub>
              <m:r>
                <w:rPr>
                  <w:rFonts w:ascii="Cambria Math" w:hAnsi="Cambria Math"/>
                </w:rPr>
                <m:t>risk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(0.08×0.70)=5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0.056=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89.29</m:t>
          </m:r>
        </m:oMath>
      </m:oMathPara>
    </w:p>
    <w:p w14:paraId="103B60C0" w14:textId="77777777" w:rsidR="00770458" w:rsidRPr="00770458" w:rsidRDefault="00770458" w:rsidP="00770458">
      <w:r w:rsidRPr="00770458">
        <w:t xml:space="preserve">Combined limit = </w:t>
      </w:r>
      <w:proofErr w:type="gramStart"/>
      <w:r w:rsidRPr="00770458">
        <w:t>min(</w:t>
      </w:r>
      <w:proofErr w:type="gramEnd"/>
      <w:r w:rsidRPr="00770458">
        <w:t xml:space="preserve">205, 89, </w:t>
      </w:r>
      <w:proofErr w:type="spellStart"/>
      <w:r w:rsidRPr="00770458">
        <w:t>PolicyMax</w:t>
      </w:r>
      <w:proofErr w:type="spellEnd"/>
      <w:r w:rsidRPr="00770458">
        <w:t xml:space="preserve">) = </w:t>
      </w:r>
      <w:r w:rsidRPr="00770458">
        <w:rPr>
          <w:b/>
          <w:bCs/>
        </w:rPr>
        <w:t>$89</w:t>
      </w:r>
      <w:r w:rsidRPr="00770458">
        <w:t xml:space="preserve"> (and you’d likely start intervention at ~70–80% of that).</w:t>
      </w:r>
    </w:p>
    <w:p w14:paraId="50FB5BFF" w14:textId="77777777" w:rsidR="00770458" w:rsidRPr="00770458" w:rsidRDefault="00770458" w:rsidP="00770458">
      <w:r w:rsidRPr="00770458">
        <w:pict w14:anchorId="29317164">
          <v:rect id="_x0000_i1065" style="width:0;height:1.5pt" o:hralign="center" o:hrstd="t" o:hr="t" fillcolor="#a0a0a0" stroked="f"/>
        </w:pict>
      </w:r>
    </w:p>
    <w:p w14:paraId="560532F5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5) Utility-specific considerations (important in practice)</w:t>
      </w:r>
    </w:p>
    <w:p w14:paraId="2080BB5F" w14:textId="77777777" w:rsidR="00770458" w:rsidRPr="00770458" w:rsidRDefault="00770458" w:rsidP="00770458">
      <w:pPr>
        <w:numPr>
          <w:ilvl w:val="0"/>
          <w:numId w:val="8"/>
        </w:numPr>
      </w:pPr>
      <w:r w:rsidRPr="00770458">
        <w:rPr>
          <w:b/>
          <w:bCs/>
        </w:rPr>
        <w:t>Regulatory/essential-service constraints</w:t>
      </w:r>
      <w:r w:rsidRPr="00770458">
        <w:t xml:space="preserve">: you may not be able to enforce a “hard stop”; your “limit” may instead be a </w:t>
      </w:r>
      <w:r w:rsidRPr="00770458">
        <w:rPr>
          <w:b/>
          <w:bCs/>
        </w:rPr>
        <w:t>collections intensity threshold</w:t>
      </w:r>
      <w:r w:rsidRPr="00770458">
        <w:t>.</w:t>
      </w:r>
    </w:p>
    <w:p w14:paraId="05A0E13D" w14:textId="77777777" w:rsidR="00770458" w:rsidRPr="00770458" w:rsidRDefault="00770458" w:rsidP="00770458">
      <w:pPr>
        <w:numPr>
          <w:ilvl w:val="0"/>
          <w:numId w:val="8"/>
        </w:numPr>
      </w:pPr>
      <w:r w:rsidRPr="00770458">
        <w:rPr>
          <w:b/>
          <w:bCs/>
        </w:rPr>
        <w:t>Billing frequency dominates exposure</w:t>
      </w:r>
      <w:r w:rsidRPr="00770458">
        <w:t>: quarterly billing materially increases W and therefore required credit capacity.</w:t>
      </w:r>
    </w:p>
    <w:p w14:paraId="07ED9DB5" w14:textId="77777777" w:rsidR="00770458" w:rsidRPr="00770458" w:rsidRDefault="00770458" w:rsidP="00770458">
      <w:pPr>
        <w:numPr>
          <w:ilvl w:val="0"/>
          <w:numId w:val="8"/>
        </w:numPr>
      </w:pPr>
      <w:r w:rsidRPr="00770458">
        <w:rPr>
          <w:b/>
          <w:bCs/>
        </w:rPr>
        <w:t>Disputes and adjustments</w:t>
      </w:r>
      <w:r w:rsidRPr="00770458">
        <w:t>: if billing disputes are common, add a disputes buffer or exclude disputed balances from triggers.</w:t>
      </w:r>
    </w:p>
    <w:p w14:paraId="41C7D33D" w14:textId="77777777" w:rsidR="00770458" w:rsidRPr="00770458" w:rsidRDefault="00770458" w:rsidP="00770458">
      <w:pPr>
        <w:numPr>
          <w:ilvl w:val="0"/>
          <w:numId w:val="8"/>
        </w:numPr>
      </w:pPr>
      <w:r w:rsidRPr="00770458">
        <w:rPr>
          <w:b/>
          <w:bCs/>
        </w:rPr>
        <w:t>Hardship/PA customers</w:t>
      </w:r>
      <w:r w:rsidRPr="00770458">
        <w:t xml:space="preserve">: often need </w:t>
      </w:r>
      <w:r w:rsidRPr="00770458">
        <w:rPr>
          <w:i/>
          <w:iCs/>
        </w:rPr>
        <w:t>different</w:t>
      </w:r>
      <w:r w:rsidRPr="00770458">
        <w:t xml:space="preserve"> logic (limit becomes “required minimum payment compliance,” not exposure).</w:t>
      </w:r>
    </w:p>
    <w:p w14:paraId="29FFA4A0" w14:textId="77777777" w:rsidR="00770458" w:rsidRPr="00770458" w:rsidRDefault="00770458" w:rsidP="00770458">
      <w:pPr>
        <w:numPr>
          <w:ilvl w:val="0"/>
          <w:numId w:val="8"/>
        </w:numPr>
      </w:pPr>
      <w:r w:rsidRPr="00770458">
        <w:rPr>
          <w:b/>
          <w:bCs/>
        </w:rPr>
        <w:t>Multiple services per account</w:t>
      </w:r>
      <w:r w:rsidRPr="00770458">
        <w:t>: combine exposures (water + wastewater + other) consistently.</w:t>
      </w:r>
    </w:p>
    <w:p w14:paraId="4F5B6351" w14:textId="77777777" w:rsidR="00770458" w:rsidRPr="00770458" w:rsidRDefault="00770458" w:rsidP="00770458">
      <w:r w:rsidRPr="00770458">
        <w:pict w14:anchorId="68D7D8AD">
          <v:rect id="_x0000_i1066" style="width:0;height:1.5pt" o:hralign="center" o:hrstd="t" o:hr="t" fillcolor="#a0a0a0" stroked="f"/>
        </w:pict>
      </w:r>
    </w:p>
    <w:p w14:paraId="7FFE086B" w14:textId="77777777" w:rsidR="00770458" w:rsidRPr="00770458" w:rsidRDefault="00770458" w:rsidP="00770458">
      <w:r w:rsidRPr="00770458">
        <w:t xml:space="preserve">If you tell me your </w:t>
      </w:r>
      <w:r w:rsidRPr="00770458">
        <w:rPr>
          <w:b/>
          <w:bCs/>
        </w:rPr>
        <w:t>billing frequency (monthly/quarterly)</w:t>
      </w:r>
      <w:r w:rsidRPr="00770458">
        <w:t xml:space="preserve">, </w:t>
      </w:r>
      <w:r w:rsidRPr="00770458">
        <w:rPr>
          <w:b/>
          <w:bCs/>
        </w:rPr>
        <w:t>payment terms</w:t>
      </w:r>
      <w:r w:rsidRPr="00770458">
        <w:t xml:space="preserve">, and whether you can capture </w:t>
      </w:r>
      <w:r w:rsidRPr="00770458">
        <w:rPr>
          <w:b/>
          <w:bCs/>
        </w:rPr>
        <w:t>daily balance/DPD</w:t>
      </w:r>
      <w:r w:rsidRPr="00770458">
        <w:t xml:space="preserve">, I can recommend a concrete limit formula and the </w:t>
      </w:r>
      <w:r w:rsidRPr="00770458">
        <w:lastRenderedPageBreak/>
        <w:t xml:space="preserve">corresponding </w:t>
      </w:r>
      <w:r w:rsidRPr="00770458">
        <w:rPr>
          <w:b/>
          <w:bCs/>
        </w:rPr>
        <w:t>collections trigger policy</w:t>
      </w:r>
      <w:r w:rsidRPr="00770458">
        <w:t xml:space="preserve"> that avoids leakage and works cleanly with your propensity-to-pay model outputs.</w:t>
      </w:r>
    </w:p>
    <w:p w14:paraId="7B71C8F6" w14:textId="77777777" w:rsidR="00770458" w:rsidRDefault="00770458"/>
    <w:p w14:paraId="7B973836" w14:textId="77777777" w:rsidR="00770458" w:rsidRPr="00770458" w:rsidRDefault="00770458" w:rsidP="00770458">
      <w:r w:rsidRPr="00770458">
        <w:t xml:space="preserve">If you want a </w:t>
      </w:r>
      <w:r w:rsidRPr="00770458">
        <w:rPr>
          <w:b/>
          <w:bCs/>
        </w:rPr>
        <w:t>Basel II–style Days Past Due (DPD)</w:t>
      </w:r>
      <w:r w:rsidRPr="00770458">
        <w:t xml:space="preserve"> metric, anchor it to the concept that default is triggered when </w:t>
      </w:r>
      <w:r w:rsidRPr="00770458">
        <w:rPr>
          <w:b/>
          <w:bCs/>
        </w:rPr>
        <w:t xml:space="preserve">“the obligor is past due more than 90 days on any </w:t>
      </w:r>
      <w:r w:rsidRPr="00770458">
        <w:rPr>
          <w:b/>
          <w:bCs/>
          <w:i/>
          <w:iCs/>
        </w:rPr>
        <w:t>material</w:t>
      </w:r>
      <w:r w:rsidRPr="00770458">
        <w:rPr>
          <w:b/>
          <w:bCs/>
        </w:rPr>
        <w:t xml:space="preserve"> credit obligation”</w:t>
      </w:r>
      <w:r w:rsidRPr="00770458">
        <w:t xml:space="preserve"> (with “unlikely to pay” as a separate pathway). </w:t>
      </w:r>
      <w:hyperlink r:id="rId5" w:tgtFrame="_blank" w:history="1">
        <w:r w:rsidRPr="00770458">
          <w:rPr>
            <w:rStyle w:val="Hyperlink"/>
          </w:rPr>
          <w:t>Bank for International Settlements</w:t>
        </w:r>
      </w:hyperlink>
    </w:p>
    <w:p w14:paraId="735461BB" w14:textId="77777777" w:rsidR="00770458" w:rsidRPr="00770458" w:rsidRDefault="00770458" w:rsidP="00770458">
      <w:r w:rsidRPr="00770458">
        <w:t xml:space="preserve">In a </w:t>
      </w:r>
      <w:r w:rsidRPr="00770458">
        <w:rPr>
          <w:b/>
          <w:bCs/>
        </w:rPr>
        <w:t>post-paid utility</w:t>
      </w:r>
      <w:r w:rsidRPr="00770458">
        <w:t xml:space="preserve"> setting, the closest analogue to a “credit obligation” is a </w:t>
      </w:r>
      <w:r w:rsidRPr="00770458">
        <w:rPr>
          <w:b/>
          <w:bCs/>
        </w:rPr>
        <w:t>billed invoice</w:t>
      </w:r>
      <w:r w:rsidRPr="00770458">
        <w:t xml:space="preserve"> (or, if a payment arrangement exists, the </w:t>
      </w:r>
      <w:r w:rsidRPr="00770458">
        <w:rPr>
          <w:b/>
          <w:bCs/>
        </w:rPr>
        <w:t>installment schedule</w:t>
      </w:r>
      <w:r w:rsidRPr="00770458">
        <w:t xml:space="preserve"> that replaces the original due date).</w:t>
      </w:r>
    </w:p>
    <w:p w14:paraId="0736355A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Basel II–style DPD (recommended operational definition)</w:t>
      </w:r>
    </w:p>
    <w:p w14:paraId="45A97F42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1) Define the obligation set</w:t>
      </w:r>
    </w:p>
    <w:p w14:paraId="1283DE59" w14:textId="05B498C1" w:rsidR="00770458" w:rsidRPr="00770458" w:rsidRDefault="00770458" w:rsidP="00770458">
      <w:r w:rsidRPr="00770458">
        <w:t xml:space="preserve">For each account, at each observation date </w:t>
      </w:r>
      <m:oMath>
        <m:r>
          <w:rPr>
            <w:rFonts w:ascii="Cambria Math" w:hAnsi="Cambria Math"/>
          </w:rPr>
          <m:t>t</m:t>
        </m:r>
      </m:oMath>
      <w:r w:rsidRPr="00770458">
        <w:t xml:space="preserve">, define obligations </w:t>
      </w:r>
      <m:oMath>
        <m:r>
          <w:rPr>
            <w:rFonts w:ascii="Cambria Math" w:hAnsi="Cambria Math"/>
          </w:rPr>
          <m:t>i</m:t>
        </m:r>
      </m:oMath>
      <w:r w:rsidRPr="00770458">
        <w:t>such as:</w:t>
      </w:r>
    </w:p>
    <w:p w14:paraId="67F5A7DD" w14:textId="77777777" w:rsidR="00770458" w:rsidRPr="00770458" w:rsidRDefault="00770458" w:rsidP="00770458">
      <w:pPr>
        <w:numPr>
          <w:ilvl w:val="0"/>
          <w:numId w:val="9"/>
        </w:numPr>
      </w:pPr>
      <w:r w:rsidRPr="00770458">
        <w:rPr>
          <w:b/>
          <w:bCs/>
        </w:rPr>
        <w:t>Invoices</w:t>
      </w:r>
      <w:r w:rsidRPr="00770458">
        <w:t xml:space="preserve"> (bill issue → due date → amount due), and/or</w:t>
      </w:r>
    </w:p>
    <w:p w14:paraId="5635B794" w14:textId="77777777" w:rsidR="00770458" w:rsidRPr="00770458" w:rsidRDefault="00770458" w:rsidP="00770458">
      <w:pPr>
        <w:numPr>
          <w:ilvl w:val="0"/>
          <w:numId w:val="9"/>
        </w:numPr>
      </w:pPr>
      <w:r w:rsidRPr="00770458">
        <w:rPr>
          <w:b/>
          <w:bCs/>
        </w:rPr>
        <w:t>PA installments</w:t>
      </w:r>
      <w:r w:rsidRPr="00770458">
        <w:t xml:space="preserve"> (</w:t>
      </w:r>
      <w:proofErr w:type="gramStart"/>
      <w:r w:rsidRPr="00770458">
        <w:t>installment</w:t>
      </w:r>
      <w:proofErr w:type="gramEnd"/>
      <w:r w:rsidRPr="00770458">
        <w:t xml:space="preserve"> due date → installment amount)</w:t>
      </w:r>
    </w:p>
    <w:p w14:paraId="65D090FD" w14:textId="77777777" w:rsidR="00770458" w:rsidRPr="00770458" w:rsidRDefault="00770458" w:rsidP="00770458">
      <w:r w:rsidRPr="00770458">
        <w:t xml:space="preserve">If an account is under a PA/deferral/rewrite, Basel expects you to have </w:t>
      </w:r>
      <w:r w:rsidRPr="00770458">
        <w:rPr>
          <w:b/>
          <w:bCs/>
        </w:rPr>
        <w:t>documented policies</w:t>
      </w:r>
      <w:r w:rsidRPr="00770458">
        <w:t xml:space="preserve"> on how you treat “re-ageing” and extensions. </w:t>
      </w:r>
      <w:hyperlink r:id="rId6" w:tgtFrame="_blank" w:history="1">
        <w:r w:rsidRPr="00770458">
          <w:rPr>
            <w:rStyle w:val="Hyperlink"/>
          </w:rPr>
          <w:t>Bank for International Settlements</w:t>
        </w:r>
      </w:hyperlink>
    </w:p>
    <w:p w14:paraId="0D572D27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2) Compute the unpaid amount per obligation (net of allocations)</w:t>
      </w:r>
    </w:p>
    <w:p w14:paraId="646BF294" w14:textId="5F581C96" w:rsidR="00770458" w:rsidRPr="00770458" w:rsidRDefault="00770458" w:rsidP="00770458">
      <w:r w:rsidRPr="00770458">
        <w:t xml:space="preserve">For each obligation </w:t>
      </w:r>
      <m:oMath>
        <m:r>
          <w:rPr>
            <w:rFonts w:ascii="Cambria Math" w:hAnsi="Cambria Math"/>
          </w:rPr>
          <m:t>i</m:t>
        </m:r>
      </m:oMath>
      <w:r w:rsidRPr="00770458">
        <w:t>:</w:t>
      </w:r>
    </w:p>
    <w:p w14:paraId="1C460790" w14:textId="77777777" w:rsidR="00770458" w:rsidRPr="00770458" w:rsidRDefault="00770458" w:rsidP="00770458">
      <w:pPr>
        <w:numPr>
          <w:ilvl w:val="0"/>
          <w:numId w:val="10"/>
        </w:numPr>
      </w:pPr>
      <w:r w:rsidRPr="00770458">
        <w:t>Start with invoiced (or installment) amount</w:t>
      </w:r>
    </w:p>
    <w:p w14:paraId="459CD317" w14:textId="77777777" w:rsidR="00770458" w:rsidRPr="00770458" w:rsidRDefault="00770458" w:rsidP="00770458">
      <w:pPr>
        <w:numPr>
          <w:ilvl w:val="0"/>
          <w:numId w:val="10"/>
        </w:numPr>
      </w:pPr>
      <w:r w:rsidRPr="00770458">
        <w:t xml:space="preserve">Subtract </w:t>
      </w:r>
      <w:r w:rsidRPr="00770458">
        <w:rPr>
          <w:b/>
          <w:bCs/>
        </w:rPr>
        <w:t>allocated</w:t>
      </w:r>
      <w:r w:rsidRPr="00770458">
        <w:t xml:space="preserve"> payments/credits/refunds applied to that obligation (use a consistent allocation rule; most firms use </w:t>
      </w:r>
      <w:r w:rsidRPr="00770458">
        <w:rPr>
          <w:b/>
          <w:bCs/>
        </w:rPr>
        <w:t>FIFO to the oldest due</w:t>
      </w:r>
      <w:r w:rsidRPr="00770458">
        <w:t>)</w:t>
      </w:r>
    </w:p>
    <w:p w14:paraId="2C5AE08A" w14:textId="77777777" w:rsidR="00770458" w:rsidRPr="00770458" w:rsidRDefault="00770458" w:rsidP="00770458">
      <w:r w:rsidRPr="00770458">
        <w:t>Let:</w:t>
      </w:r>
    </w:p>
    <w:p w14:paraId="3564D70A" w14:textId="34C6000B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Unpaid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AmountDue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PaymentsAllocated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CreditsAllocated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789A6A5A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3) Determine whether it is “past due” and “material”</w:t>
      </w:r>
    </w:p>
    <w:p w14:paraId="56EF0916" w14:textId="77777777" w:rsidR="00770458" w:rsidRPr="00770458" w:rsidRDefault="00770458" w:rsidP="00770458">
      <w:r w:rsidRPr="00770458">
        <w:t>Past due if:</w:t>
      </w:r>
    </w:p>
    <w:p w14:paraId="2B3C7DB7" w14:textId="4612CC39" w:rsidR="00770458" w:rsidRPr="00770458" w:rsidRDefault="00770458" w:rsidP="00770458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DueDate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0458">
        <w:rPr>
          <w:b/>
          <w:bCs/>
        </w:rPr>
        <w:t>and</w:t>
      </w:r>
      <w:r w:rsidRPr="0077045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Unpaid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(t)&gt;0</m:t>
        </m:r>
      </m:oMath>
    </w:p>
    <w:p w14:paraId="4AAF9E76" w14:textId="77777777" w:rsidR="00770458" w:rsidRPr="00770458" w:rsidRDefault="00770458" w:rsidP="00770458">
      <w:r w:rsidRPr="00770458">
        <w:lastRenderedPageBreak/>
        <w:t xml:space="preserve">Materiality: Basel II references “material” but leaves the threshold to supervisory/national implementation. Practically, many regimes require that the </w:t>
      </w:r>
      <w:r w:rsidRPr="00770458">
        <w:rPr>
          <w:b/>
          <w:bCs/>
        </w:rPr>
        <w:t>past-due amount must be material before the 90-day counter starts</w:t>
      </w:r>
      <w:r w:rsidRPr="00770458">
        <w:t xml:space="preserve">, and it must remain material for </w:t>
      </w:r>
      <w:r w:rsidRPr="00770458">
        <w:rPr>
          <w:b/>
          <w:bCs/>
        </w:rPr>
        <w:t>consecutive</w:t>
      </w:r>
      <w:r w:rsidRPr="00770458">
        <w:t xml:space="preserve"> days. </w:t>
      </w:r>
      <w:hyperlink r:id="rId7" w:tgtFrame="_blank" w:history="1">
        <w:r w:rsidRPr="00770458">
          <w:rPr>
            <w:rStyle w:val="Hyperlink"/>
          </w:rPr>
          <w:t>European Banking Authority</w:t>
        </w:r>
      </w:hyperlink>
    </w:p>
    <w:p w14:paraId="4E5EEB8F" w14:textId="77777777" w:rsidR="00770458" w:rsidRPr="00770458" w:rsidRDefault="00770458" w:rsidP="00770458">
      <w:proofErr w:type="gramStart"/>
      <w:r w:rsidRPr="00770458">
        <w:t>So</w:t>
      </w:r>
      <w:proofErr w:type="gramEnd"/>
      <w:r w:rsidRPr="00770458">
        <w:t xml:space="preserve"> define a materiality test, e.g.:</w:t>
      </w:r>
    </w:p>
    <w:p w14:paraId="2A7FACDC" w14:textId="03255D8A" w:rsidR="00770458" w:rsidRPr="00770458" w:rsidRDefault="00770458" w:rsidP="00770458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Unpaid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(t)≥</m:t>
        </m:r>
        <m:r>
          <m:rPr>
            <m:nor/>
          </m:rPr>
          <m:t>AbsoluteThreshold</m:t>
        </m:r>
      </m:oMath>
      <w:r w:rsidRPr="00770458">
        <w:rPr>
          <w:b/>
          <w:bCs/>
        </w:rPr>
        <w:t>and/or</w:t>
      </w:r>
    </w:p>
    <w:p w14:paraId="7F173A93" w14:textId="6F0E406E" w:rsidR="00770458" w:rsidRPr="00770458" w:rsidRDefault="00770458" w:rsidP="00770458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Unpaid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(t)≥</m:t>
        </m:r>
        <m:r>
          <m:rPr>
            <m:nor/>
          </m:rPr>
          <m:t>RelativeThreshold</m:t>
        </m:r>
        <m:r>
          <w:rPr>
            <w:rFonts w:ascii="Cambria Math" w:hAnsi="Cambria Math"/>
          </w:rPr>
          <m:t>×</m:t>
        </m:r>
        <m:r>
          <m:rPr>
            <m:nor/>
          </m:rPr>
          <m:t>TotalOutstanding</m:t>
        </m:r>
        <m:r>
          <w:rPr>
            <w:rFonts w:ascii="Cambria Math" w:hAnsi="Cambria Math"/>
          </w:rPr>
          <m:t>(t)</m:t>
        </m:r>
      </m:oMath>
    </w:p>
    <w:p w14:paraId="392F249F" w14:textId="77777777" w:rsidR="00770458" w:rsidRPr="00770458" w:rsidRDefault="00770458" w:rsidP="00770458">
      <w:r w:rsidRPr="00770458">
        <w:t>(Exact thresholds are a policy/governance choice; the key is consistency and auditability.)</w:t>
      </w:r>
    </w:p>
    <w:p w14:paraId="609CAE1E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4) Calculate DPD per obligation</w:t>
      </w:r>
    </w:p>
    <w:p w14:paraId="75D0A43D" w14:textId="77777777" w:rsidR="00770458" w:rsidRPr="00770458" w:rsidRDefault="00770458" w:rsidP="00770458">
      <w:r w:rsidRPr="00770458">
        <w:t>For each past-due obligation:</w:t>
      </w:r>
    </w:p>
    <w:p w14:paraId="6039B537" w14:textId="1F0B176A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DPD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nor/>
            </m:rPr>
            <w:rPr>
              <w:rFonts w:ascii="Arial" w:hAnsi="Arial" w:cs="Arial"/>
            </w:rPr>
            <m:t>  </m:t>
          </m:r>
          <w:proofErr w:type="spellStart"/>
          <m:r>
            <m:rPr>
              <m:nor/>
            </m:rPr>
            <m:t>DaysBetween</m:t>
          </m:r>
          <w:proofErr w:type="spellEnd"/>
          <m:r>
            <w:rPr>
              <w:rFonts w:ascii="Cambria Math" w:hAnsi="Cambria Math"/>
            </w:rPr>
            <m:t>(t,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DueDate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20E9DEF7" w14:textId="77777777" w:rsidR="00770458" w:rsidRPr="00770458" w:rsidRDefault="00770458" w:rsidP="00770458">
      <w:r w:rsidRPr="00770458">
        <w:t>Conventionally, this yields:</w:t>
      </w:r>
    </w:p>
    <w:p w14:paraId="471B775B" w14:textId="77777777" w:rsidR="00770458" w:rsidRPr="00770458" w:rsidRDefault="00770458" w:rsidP="00770458">
      <w:pPr>
        <w:numPr>
          <w:ilvl w:val="0"/>
          <w:numId w:val="13"/>
        </w:numPr>
      </w:pPr>
      <w:r w:rsidRPr="00770458">
        <w:t>DPD = 0 on the due date</w:t>
      </w:r>
    </w:p>
    <w:p w14:paraId="03BEBECC" w14:textId="77777777" w:rsidR="00770458" w:rsidRPr="00770458" w:rsidRDefault="00770458" w:rsidP="00770458">
      <w:pPr>
        <w:numPr>
          <w:ilvl w:val="0"/>
          <w:numId w:val="13"/>
        </w:numPr>
      </w:pPr>
      <w:r w:rsidRPr="00770458">
        <w:t>DPD = 1 the day after the due date</w:t>
      </w:r>
    </w:p>
    <w:p w14:paraId="47AA3854" w14:textId="77777777" w:rsidR="00770458" w:rsidRPr="00770458" w:rsidRDefault="00770458" w:rsidP="00770458">
      <w:pPr>
        <w:numPr>
          <w:ilvl w:val="0"/>
          <w:numId w:val="13"/>
        </w:numPr>
      </w:pPr>
      <w:r w:rsidRPr="00770458">
        <w:t>etc.</w:t>
      </w:r>
    </w:p>
    <w:p w14:paraId="683FCC66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5) Roll up to account-level DPD (the Basel-relevant one)</w:t>
      </w:r>
    </w:p>
    <w:p w14:paraId="729155BE" w14:textId="77777777" w:rsidR="00770458" w:rsidRPr="00770458" w:rsidRDefault="00770458" w:rsidP="00770458">
      <w:r w:rsidRPr="00770458">
        <w:t xml:space="preserve">Basel’s “any material credit obligation” language implies you should take the </w:t>
      </w:r>
      <w:r w:rsidRPr="00770458">
        <w:rPr>
          <w:b/>
          <w:bCs/>
        </w:rPr>
        <w:t>maximum delinquency across obligations</w:t>
      </w:r>
      <w:r w:rsidRPr="00770458">
        <w:t>:</w:t>
      </w:r>
    </w:p>
    <w:p w14:paraId="4C93616B" w14:textId="006870D0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DPD</m:t>
              </m:r>
            </m:e>
            <m:sub>
              <m:r>
                <w:rPr>
                  <w:rFonts w:ascii="Cambria Math" w:hAnsi="Cambria Math"/>
                </w:rPr>
                <m:t>acct</m:t>
              </m:r>
            </m:sub>
          </m:sSub>
          <m:r>
            <w:rPr>
              <w:rFonts w:ascii="Cambria Math" w:hAnsi="Cambria Math"/>
            </w:rPr>
            <m:t>(t)=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DPD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for obligations where Unpaid is past-due and material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D0D2867" w14:textId="7A2D4C03" w:rsidR="00770458" w:rsidRPr="00770458" w:rsidRDefault="00770458" w:rsidP="00770458">
      <w:r w:rsidRPr="00770458">
        <w:t xml:space="preserve">If none are past-due and material,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DPD</m:t>
            </m:r>
          </m:e>
          <m:sub>
            <m:r>
              <w:rPr>
                <w:rFonts w:ascii="Cambria Math" w:hAnsi="Cambria Math"/>
              </w:rPr>
              <m:t>acct</m:t>
            </m:r>
          </m:sub>
        </m:sSub>
        <m:r>
          <w:rPr>
            <w:rFonts w:ascii="Cambria Math" w:hAnsi="Cambria Math"/>
          </w:rPr>
          <m:t>(t)=0</m:t>
        </m:r>
      </m:oMath>
      <w:r w:rsidRPr="00770458">
        <w:t>.</w:t>
      </w:r>
    </w:p>
    <w:p w14:paraId="0CD3CBCA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6) Basel II–style “DPD default trigger” (if you need the binary flag)</w:t>
      </w:r>
    </w:p>
    <w:p w14:paraId="343DCC17" w14:textId="52769CDD" w:rsidR="00770458" w:rsidRPr="00770458" w:rsidRDefault="00770458" w:rsidP="007704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Default</m:t>
              </m:r>
            </m:e>
            <m:sub>
              <m:r>
                <w:rPr>
                  <w:rFonts w:ascii="Cambria Math" w:hAnsi="Cambria Math"/>
                </w:rPr>
                <m:t>DPD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DPD</m:t>
              </m:r>
            </m:e>
            <m:sub>
              <m:r>
                <w:rPr>
                  <w:rFonts w:ascii="Cambria Math" w:hAnsi="Cambria Math"/>
                </w:rPr>
                <m:t>acct</m:t>
              </m:r>
            </m:sub>
          </m:sSub>
          <m:r>
            <w:rPr>
              <w:rFonts w:ascii="Cambria Math" w:hAnsi="Cambria Math"/>
            </w:rPr>
            <m:t>(t)&gt;90</m:t>
          </m:r>
          <m:r>
            <m:rPr>
              <m:nor/>
            </m:rPr>
            <m:t xml:space="preserve"> and past-due amount is material</m:t>
          </m:r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1CB61AD" w14:textId="77777777" w:rsidR="00770458" w:rsidRPr="00770458" w:rsidRDefault="00770458" w:rsidP="00770458">
      <w:r w:rsidRPr="00770458">
        <w:t xml:space="preserve">Basel II also requires the separate “unlikely to pay” trigger (collections escalation, insolvency indicators, etc.)—DPD is a </w:t>
      </w:r>
      <w:r w:rsidRPr="00770458">
        <w:rPr>
          <w:b/>
          <w:bCs/>
        </w:rPr>
        <w:t>backstop</w:t>
      </w:r>
      <w:r w:rsidRPr="00770458">
        <w:t xml:space="preserve">, not the only pathway. </w:t>
      </w:r>
      <w:hyperlink r:id="rId8" w:tgtFrame="_blank" w:history="1">
        <w:r w:rsidRPr="00770458">
          <w:rPr>
            <w:rStyle w:val="Hyperlink"/>
          </w:rPr>
          <w:t>Bank for International Settlements+1</w:t>
        </w:r>
      </w:hyperlink>
    </w:p>
    <w:p w14:paraId="326F0317" w14:textId="77777777" w:rsidR="00770458" w:rsidRPr="00770458" w:rsidRDefault="00770458" w:rsidP="00770458">
      <w:r w:rsidRPr="00770458">
        <w:pict w14:anchorId="766A757B">
          <v:rect id="_x0000_i1085" style="width:0;height:1.5pt" o:hralign="center" o:hrstd="t" o:hr="t" fillcolor="#a0a0a0" stroked="f"/>
        </w:pict>
      </w:r>
    </w:p>
    <w:p w14:paraId="67D649A4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lastRenderedPageBreak/>
        <w:t>Utility-specific implementation notes (to avoid common pitfalls)</w:t>
      </w:r>
    </w:p>
    <w:p w14:paraId="22D412F0" w14:textId="77777777" w:rsidR="00770458" w:rsidRPr="00770458" w:rsidRDefault="00770458" w:rsidP="00770458">
      <w:pPr>
        <w:numPr>
          <w:ilvl w:val="0"/>
          <w:numId w:val="14"/>
        </w:numPr>
      </w:pPr>
      <w:r w:rsidRPr="00770458">
        <w:rPr>
          <w:b/>
          <w:bCs/>
        </w:rPr>
        <w:t>Payment arrangements / deferrals:</w:t>
      </w:r>
      <w:r w:rsidRPr="00770458">
        <w:t xml:space="preserve"> If a PA legally changes what is “contractually due,” measure DPD against </w:t>
      </w:r>
      <w:r w:rsidRPr="00770458">
        <w:rPr>
          <w:b/>
          <w:bCs/>
        </w:rPr>
        <w:t>missed installments</w:t>
      </w:r>
      <w:r w:rsidRPr="00770458">
        <w:t xml:space="preserve">, not the original invoice due date; document your re-ageing policy. </w:t>
      </w:r>
      <w:hyperlink r:id="rId9" w:tgtFrame="_blank" w:history="1">
        <w:r w:rsidRPr="00770458">
          <w:rPr>
            <w:rStyle w:val="Hyperlink"/>
          </w:rPr>
          <w:t>Bank for International Settlements</w:t>
        </w:r>
      </w:hyperlink>
    </w:p>
    <w:p w14:paraId="3CE74C6B" w14:textId="77777777" w:rsidR="00770458" w:rsidRPr="00770458" w:rsidRDefault="00770458" w:rsidP="00770458">
      <w:pPr>
        <w:numPr>
          <w:ilvl w:val="0"/>
          <w:numId w:val="14"/>
        </w:numPr>
      </w:pPr>
      <w:r w:rsidRPr="00770458">
        <w:rPr>
          <w:b/>
          <w:bCs/>
        </w:rPr>
        <w:t>Disputes:</w:t>
      </w:r>
      <w:r w:rsidRPr="00770458">
        <w:t xml:space="preserve"> Exclude formally disputed amounts from “past due” (or track two DPDs: contractual vs undisputed</w:t>
      </w:r>
      <w:proofErr w:type="gramStart"/>
      <w:r w:rsidRPr="00770458">
        <w:t>), but</w:t>
      </w:r>
      <w:proofErr w:type="gramEnd"/>
      <w:r w:rsidRPr="00770458">
        <w:t xml:space="preserve"> be consistent.</w:t>
      </w:r>
    </w:p>
    <w:p w14:paraId="106B6670" w14:textId="77777777" w:rsidR="00770458" w:rsidRPr="00770458" w:rsidRDefault="00770458" w:rsidP="00770458">
      <w:pPr>
        <w:numPr>
          <w:ilvl w:val="0"/>
          <w:numId w:val="14"/>
        </w:numPr>
      </w:pPr>
      <w:r w:rsidRPr="00770458">
        <w:rPr>
          <w:b/>
          <w:bCs/>
        </w:rPr>
        <w:t>Partial payments:</w:t>
      </w:r>
      <w:r w:rsidRPr="00770458">
        <w:t xml:space="preserve"> If an invoice remains partially unpaid, keep DPD running off the </w:t>
      </w:r>
      <w:r w:rsidRPr="00770458">
        <w:rPr>
          <w:b/>
          <w:bCs/>
        </w:rPr>
        <w:t>original due date</w:t>
      </w:r>
      <w:r w:rsidRPr="00770458">
        <w:t xml:space="preserve"> for the remaining unpaid portion (unless re-aged by policy).</w:t>
      </w:r>
    </w:p>
    <w:p w14:paraId="034587B2" w14:textId="77777777" w:rsidR="00770458" w:rsidRPr="00770458" w:rsidRDefault="00770458" w:rsidP="00770458">
      <w:pPr>
        <w:numPr>
          <w:ilvl w:val="0"/>
          <w:numId w:val="14"/>
        </w:numPr>
      </w:pPr>
      <w:r w:rsidRPr="00770458">
        <w:rPr>
          <w:b/>
          <w:bCs/>
        </w:rPr>
        <w:t>Materiality reset:</w:t>
      </w:r>
      <w:r w:rsidRPr="00770458">
        <w:t xml:space="preserve"> If the past-due amount falls below your materiality threshold, many regulatory interpretations reset/stop the “days past due” count until it becomes material again. </w:t>
      </w:r>
      <w:hyperlink r:id="rId10" w:tgtFrame="_blank" w:history="1">
        <w:r w:rsidRPr="00770458">
          <w:rPr>
            <w:rStyle w:val="Hyperlink"/>
          </w:rPr>
          <w:t>European Banking Authority</w:t>
        </w:r>
      </w:hyperlink>
    </w:p>
    <w:p w14:paraId="1D736333" w14:textId="77777777" w:rsidR="00770458" w:rsidRPr="00770458" w:rsidRDefault="00770458" w:rsidP="00770458">
      <w:r w:rsidRPr="00770458">
        <w:pict w14:anchorId="6D29E731">
          <v:rect id="_x0000_i1086" style="width:0;height:1.5pt" o:hralign="center" o:hrstd="t" o:hr="t" fillcolor="#a0a0a0" stroked="f"/>
        </w:pict>
      </w:r>
    </w:p>
    <w:p w14:paraId="6EB16375" w14:textId="77777777" w:rsidR="00770458" w:rsidRPr="00770458" w:rsidRDefault="00770458" w:rsidP="00770458">
      <w:pPr>
        <w:rPr>
          <w:b/>
          <w:bCs/>
        </w:rPr>
      </w:pPr>
      <w:r w:rsidRPr="00770458">
        <w:rPr>
          <w:b/>
          <w:bCs/>
        </w:rPr>
        <w:t>Bottom line</w:t>
      </w:r>
    </w:p>
    <w:p w14:paraId="26417EBC" w14:textId="77777777" w:rsidR="00770458" w:rsidRPr="00770458" w:rsidRDefault="00770458" w:rsidP="00770458">
      <w:r w:rsidRPr="00770458">
        <w:t>For a utility bill, the Basel II–aligned choice is:</w:t>
      </w:r>
    </w:p>
    <w:p w14:paraId="39A7B642" w14:textId="77777777" w:rsidR="00770458" w:rsidRPr="00770458" w:rsidRDefault="00770458" w:rsidP="00770458">
      <w:r w:rsidRPr="00770458">
        <w:rPr>
          <w:b/>
          <w:bCs/>
        </w:rPr>
        <w:t xml:space="preserve">Account DPD = number of days since the due date of the oldest (max DPD) </w:t>
      </w:r>
      <w:r w:rsidRPr="00770458">
        <w:rPr>
          <w:b/>
          <w:bCs/>
          <w:i/>
          <w:iCs/>
        </w:rPr>
        <w:t>material</w:t>
      </w:r>
      <w:r w:rsidRPr="00770458">
        <w:rPr>
          <w:b/>
          <w:bCs/>
        </w:rPr>
        <w:t xml:space="preserve"> unpaid billed obligation, after allocating payments/credits consistently; reset/adjust only via documented re-ageing/PA rules.</w:t>
      </w:r>
      <w:r w:rsidRPr="00770458">
        <w:t xml:space="preserve"> </w:t>
      </w:r>
      <w:hyperlink r:id="rId11" w:tgtFrame="_blank" w:history="1">
        <w:r w:rsidRPr="00770458">
          <w:rPr>
            <w:rStyle w:val="Hyperlink"/>
          </w:rPr>
          <w:t>Bank for International Settlements+2Bank for International Settlements+2</w:t>
        </w:r>
      </w:hyperlink>
    </w:p>
    <w:p w14:paraId="7207D226" w14:textId="77777777" w:rsidR="00770458" w:rsidRPr="00770458" w:rsidRDefault="00770458" w:rsidP="00770458">
      <w:r w:rsidRPr="00770458">
        <w:t>If you share your billing cadence (monthly/quarterly), payment terms, and whether PAs legally replace due dates, I can provide a concrete DPD spec (including payment allocation and materiality thresholds) that will be robust for both modelling and audit.</w:t>
      </w:r>
    </w:p>
    <w:p w14:paraId="68056C29" w14:textId="77777777" w:rsidR="00770458" w:rsidRDefault="00770458"/>
    <w:sectPr w:rsidR="00770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0A4"/>
    <w:multiLevelType w:val="multilevel"/>
    <w:tmpl w:val="FC5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35BB"/>
    <w:multiLevelType w:val="multilevel"/>
    <w:tmpl w:val="E7B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1035"/>
    <w:multiLevelType w:val="multilevel"/>
    <w:tmpl w:val="EBF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5052"/>
    <w:multiLevelType w:val="multilevel"/>
    <w:tmpl w:val="5E9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4C9C"/>
    <w:multiLevelType w:val="multilevel"/>
    <w:tmpl w:val="5F4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807DC"/>
    <w:multiLevelType w:val="multilevel"/>
    <w:tmpl w:val="7AA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72FBE"/>
    <w:multiLevelType w:val="multilevel"/>
    <w:tmpl w:val="867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D7D11"/>
    <w:multiLevelType w:val="multilevel"/>
    <w:tmpl w:val="AF8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A15A7"/>
    <w:multiLevelType w:val="multilevel"/>
    <w:tmpl w:val="93D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24FE1"/>
    <w:multiLevelType w:val="multilevel"/>
    <w:tmpl w:val="71F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0C98"/>
    <w:multiLevelType w:val="multilevel"/>
    <w:tmpl w:val="A7A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062F"/>
    <w:multiLevelType w:val="multilevel"/>
    <w:tmpl w:val="BF2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D21CF"/>
    <w:multiLevelType w:val="multilevel"/>
    <w:tmpl w:val="965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B1CBF"/>
    <w:multiLevelType w:val="multilevel"/>
    <w:tmpl w:val="EE3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3802">
    <w:abstractNumId w:val="9"/>
  </w:num>
  <w:num w:numId="2" w16cid:durableId="231695832">
    <w:abstractNumId w:val="11"/>
  </w:num>
  <w:num w:numId="3" w16cid:durableId="2003926525">
    <w:abstractNumId w:val="4"/>
  </w:num>
  <w:num w:numId="4" w16cid:durableId="1231892933">
    <w:abstractNumId w:val="6"/>
  </w:num>
  <w:num w:numId="5" w16cid:durableId="430124019">
    <w:abstractNumId w:val="3"/>
  </w:num>
  <w:num w:numId="6" w16cid:durableId="1152143431">
    <w:abstractNumId w:val="2"/>
  </w:num>
  <w:num w:numId="7" w16cid:durableId="1642881378">
    <w:abstractNumId w:val="0"/>
  </w:num>
  <w:num w:numId="8" w16cid:durableId="151916256">
    <w:abstractNumId w:val="1"/>
  </w:num>
  <w:num w:numId="9" w16cid:durableId="1409186862">
    <w:abstractNumId w:val="10"/>
  </w:num>
  <w:num w:numId="10" w16cid:durableId="1537618821">
    <w:abstractNumId w:val="12"/>
  </w:num>
  <w:num w:numId="11" w16cid:durableId="1894851764">
    <w:abstractNumId w:val="8"/>
  </w:num>
  <w:num w:numId="12" w16cid:durableId="793329425">
    <w:abstractNumId w:val="7"/>
  </w:num>
  <w:num w:numId="13" w16cid:durableId="670374917">
    <w:abstractNumId w:val="5"/>
  </w:num>
  <w:num w:numId="14" w16cid:durableId="12178593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58"/>
    <w:rsid w:val="00770458"/>
    <w:rsid w:val="0077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1A00"/>
  <w15:chartTrackingRefBased/>
  <w15:docId w15:val="{1B8E2FCA-F3A8-4CA2-8195-DF744101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s.org/publ/bcbs128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ba.europa.eu/single-rule-book-qa/qna/view/publicId/2014_1297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s.org/publ/bcbs128.pdf" TargetMode="External"/><Relationship Id="rId11" Type="http://schemas.openxmlformats.org/officeDocument/2006/relationships/hyperlink" Target="https://www.bis.org/publ/bcbs128.pdf" TargetMode="External"/><Relationship Id="rId5" Type="http://schemas.openxmlformats.org/officeDocument/2006/relationships/hyperlink" Target="https://www.bis.org/publ/bcbs128.pdf" TargetMode="External"/><Relationship Id="rId10" Type="http://schemas.openxmlformats.org/officeDocument/2006/relationships/hyperlink" Target="https://www.eba.europa.eu/single-rule-book-qa/qna/view/publicId/2014_129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s.org/publ/bcbs12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Smeegy Weegy</dc:creator>
  <cp:keywords/>
  <dc:description/>
  <cp:lastModifiedBy>Smeegy Weegy</cp:lastModifiedBy>
  <cp:revision>1</cp:revision>
  <dcterms:created xsi:type="dcterms:W3CDTF">2026-01-07T14:46:00Z</dcterms:created>
  <dcterms:modified xsi:type="dcterms:W3CDTF">2026-01-07T14:46:00Z</dcterms:modified>
</cp:coreProperties>
</file>