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CJK SC" w:hAnsi="Noto Sans CJK SC"/>
          <w:b/>
          <w:color w:val="243746"/>
          <w:sz w:val="60"/>
        </w:rPr>
        <w:t>PR-Warn++ v3.2</w:t>
      </w:r>
    </w:p>
    <w:p>
      <w:pPr>
        <w:spacing w:before="200"/>
        <w:jc w:val="center"/>
      </w:pPr>
      <w:r>
        <w:rPr>
          <w:b/>
          <w:color w:val="243746"/>
          <w:sz w:val="44"/>
        </w:rPr>
        <w:t>极端天气与数据退化条件下的联合概率风电预测与风电侧风险代理预警</w:t>
      </w:r>
    </w:p>
    <w:p>
      <w:pPr>
        <w:jc w:val="center"/>
      </w:pPr>
      <w:r>
        <w:rPr>
          <w:color w:val="345A73"/>
          <w:sz w:val="26"/>
        </w:rPr>
        <w:t>最终研究方案与可复现技术实施规范（Clean v3.2）</w:t>
      </w:r>
    </w:p>
    <w:p>
      <w:pPr>
        <w:spacing w:before="360"/>
        <w:jc w:val="center"/>
      </w:pPr>
      <w:r>
        <w:rPr>
          <w:b/>
          <w:color w:val="4E6677"/>
          <w:sz w:val="21"/>
        </w:rPr>
        <w:t>Weak-Physics Prior · Dynamic Multi-Graph Residual Forecasting · Direct Conditional Flow Matching · Hierarchical Conformal Calibration · Wind-Side Risk Proxy</w:t>
      </w:r>
    </w:p>
    <w:tbl>
      <w:tblPr>
        <w:tblW w:type="auto" w:w="0"/>
        <w:jc w:val="center"/>
        <w:tblLayout w:type="autofit"/>
        <w:tblLook w:firstColumn="1" w:firstRow="1" w:lastColumn="0" w:lastRow="0" w:noHBand="0" w:noVBand="1" w:val="04A0"/>
      </w:tblPr>
      <w:tblGrid>
        <w:gridCol w:w="9978"/>
      </w:tblGrid>
      <w:tr>
        <w:tc>
          <w:tcPr>
            <w:tcW w:type="dxa" w:w="9978"/>
            <w:shd w:fill="EDF4F8"/>
            <w:vAlign w:val="center"/>
            <w:tcBorders>
              <w:top w:val="single" w:sz="8" w:color="9CB8C9"/>
              <w:bottom w:val="single" w:sz="8" w:color="9CB8C9"/>
              <w:left w:val="single" w:sz="8" w:color="9CB8C9"/>
              <w:right w:val="single" w:sz="8" w:color="9CB8C9"/>
            </w:tcBorders>
          </w:tcPr>
          <w:p>
            <w:pPr>
              <w:spacing w:before="140" w:after="140"/>
            </w:pPr>
            <w:r>
              <w:rPr>
                <w:b/>
                <w:color w:val="243746"/>
                <w:sz w:val="20"/>
              </w:rPr>
              <w:t>v3.2 不是重新设计一套新方法，而是把《顶刊级技术审核、实验实施与论文写作指导书》审定的 v3.1 主线真正落实到公式、输入可用性、训练流程、实验协议和论文 Claim 中。旧版 VAE、伪 OT-CFM、强 WakeModel 主中心、学习式 Level 1–4 风险头和严格四源 Sobol 分解均退出主线。</w:t>
            </w:r>
          </w:p>
        </w:tc>
      </w:tr>
    </w:tbl>
    <w:p>
      <w:pPr>
        <w:spacing w:before="400"/>
        <w:jc w:val="center"/>
      </w:pPr>
      <w:r>
        <w:rPr>
          <w:color w:val="6D7C89"/>
          <w:sz w:val="18"/>
        </w:rPr>
        <w:t>Clean revision date: 2026-08-24</w:t>
      </w:r>
    </w:p>
    <w:p>
      <w:r>
        <w:br w:type="page"/>
      </w:r>
    </w:p>
    <w:p>
      <w:pPr>
        <w:pStyle w:val="Heading1"/>
      </w:pPr>
      <w:r>
        <w:t>0. v3.2 清理原则与版本变更</w:t>
      </w:r>
    </w:p>
    <w:p>
      <w:r>
        <w:rPr>
          <w:i w:val="0"/>
        </w:rPr>
        <w:t>本版本唯一目标是“最小修改解决最大审稿风险”。PR-Warn++ 的核心思想仍然保持不变：先构造一个可审计的弱物理中心，再由动态图时空网络学习中心无法解释的残差；随后对最终预测误差做联合概率生成，用独立校准集提高经验覆盖可靠性，最后把场景映射成可验证的风电侧 ramp / deviation / tail-risk proxy。</w:t>
      </w:r>
    </w:p>
    <w:tbl>
      <w:tblPr>
        <w:tblStyle w:val="TableGrid"/>
        <w:tblW w:type="auto" w:w="0"/>
        <w:jc w:val="center"/>
        <w:tblLook w:firstColumn="1" w:firstRow="1" w:lastColumn="0" w:lastRow="0" w:noHBand="0" w:noVBand="1" w:val="04A0"/>
      </w:tblPr>
      <w:tblGrid>
        <w:gridCol w:w="3326"/>
        <w:gridCol w:w="3326"/>
        <w:gridCol w:w="3326"/>
      </w:tblGrid>
      <w:tr>
        <w:tc>
          <w:tcPr>
            <w:tcW w:type="dxa" w:w="2948"/>
            <w:shd w:fill="DCEAF3"/>
            <w:vAlign w:val="center"/>
          </w:tcPr>
          <w:p>
            <w:pPr>
              <w:jc w:val="center"/>
            </w:pPr>
            <w:r>
              <w:rPr>
                <w:b/>
                <w:color w:val="243746"/>
                <w:sz w:val="16"/>
              </w:rPr>
              <w:t>旧设计/旧表述</w:t>
            </w:r>
          </w:p>
        </w:tc>
        <w:tc>
          <w:tcPr>
            <w:tcW w:type="dxa" w:w="3969"/>
            <w:shd w:fill="DCEAF3"/>
            <w:vAlign w:val="center"/>
          </w:tcPr>
          <w:p>
            <w:pPr>
              <w:jc w:val="center"/>
            </w:pPr>
            <w:r>
              <w:rPr>
                <w:b/>
                <w:color w:val="243746"/>
                <w:sz w:val="16"/>
              </w:rPr>
              <w:t>v3.2 主线</w:t>
            </w:r>
          </w:p>
        </w:tc>
        <w:tc>
          <w:tcPr>
            <w:tcW w:type="dxa" w:w="3061"/>
            <w:shd w:fill="DCEAF3"/>
            <w:vAlign w:val="center"/>
          </w:tcPr>
          <w:p>
            <w:pPr>
              <w:jc w:val="center"/>
            </w:pPr>
            <w:r>
              <w:rPr>
                <w:b/>
                <w:color w:val="243746"/>
                <w:sz w:val="16"/>
              </w:rPr>
              <w:t>处理状态</w:t>
            </w:r>
          </w:p>
        </w:tc>
      </w:tr>
      <w:tr>
        <w:tc>
          <w:tcPr>
            <w:tcW w:type="dxa" w:w="2948"/>
            <w:vAlign w:val="center"/>
          </w:tcPr>
          <w:p>
            <w:pPr>
              <w:spacing w:before="0" w:after="0" w:line="252" w:lineRule="auto"/>
            </w:pPr>
            <w:r>
              <w:rPr>
                <w:rFonts w:ascii="Noto Sans CJK SC" w:hAnsi="Noto Sans CJK SC"/>
                <w:sz w:val="16"/>
              </w:rPr>
              <w:t>WakeModel/Jensen 作为默认 P_phy</w:t>
            </w:r>
          </w:p>
        </w:tc>
        <w:tc>
          <w:tcPr>
            <w:tcW w:type="dxa" w:w="3969"/>
            <w:vAlign w:val="center"/>
          </w:tcPr>
          <w:p>
            <w:pPr>
              <w:spacing w:before="0" w:after="0" w:line="252" w:lineRule="auto"/>
            </w:pPr>
            <w:r>
              <w:rPr>
                <w:rFonts w:ascii="Noto Sans CJK SC" w:hAnsi="Noto Sans CJK SC"/>
                <w:sz w:val="16"/>
              </w:rPr>
              <w:t>Train-only 等密度经验功率曲线 P_pc</w:t>
            </w:r>
          </w:p>
        </w:tc>
        <w:tc>
          <w:tcPr>
            <w:tcW w:type="dxa" w:w="3061"/>
            <w:vAlign w:val="center"/>
          </w:tcPr>
          <w:p>
            <w:pPr>
              <w:spacing w:before="0" w:after="0" w:line="252" w:lineRule="auto"/>
            </w:pPr>
            <w:r>
              <w:rPr>
                <w:rFonts w:ascii="Noto Sans CJK SC" w:hAnsi="Noto Sans CJK SC"/>
                <w:sz w:val="16"/>
              </w:rPr>
              <w:t>强物理降级；Jensen 仅参数充分数据集增强/消融</w:t>
            </w:r>
          </w:p>
        </w:tc>
      </w:tr>
      <w:tr>
        <w:tc>
          <w:tcPr>
            <w:tcW w:type="dxa" w:w="2948"/>
            <w:vAlign w:val="center"/>
          </w:tcPr>
          <w:p>
            <w:pPr>
              <w:spacing w:before="0" w:after="0" w:line="252" w:lineRule="auto"/>
            </w:pPr>
            <w:r>
              <w:rPr>
                <w:rFonts w:ascii="Noto Sans CJK SC" w:hAnsi="Noto Sans CJK SC"/>
                <w:sz w:val="16"/>
              </w:rPr>
              <w:t>VAE latent + flow</w:t>
            </w:r>
          </w:p>
        </w:tc>
        <w:tc>
          <w:tcPr>
            <w:tcW w:type="dxa" w:w="3969"/>
            <w:vAlign w:val="center"/>
          </w:tcPr>
          <w:p>
            <w:pPr>
              <w:spacing w:before="0" w:after="0" w:line="252" w:lineRule="auto"/>
            </w:pPr>
            <w:r>
              <w:rPr>
                <w:rFonts w:ascii="Noto Sans CJK SC" w:hAnsi="Noto Sans CJK SC"/>
                <w:sz w:val="16"/>
              </w:rPr>
              <w:t>Direct CFM directly on E=Y−Y_det</w:t>
            </w:r>
          </w:p>
        </w:tc>
        <w:tc>
          <w:tcPr>
            <w:tcW w:type="dxa" w:w="3061"/>
            <w:vAlign w:val="center"/>
          </w:tcPr>
          <w:p>
            <w:pPr>
              <w:spacing w:before="0" w:after="0" w:line="252" w:lineRule="auto"/>
            </w:pPr>
            <w:r>
              <w:rPr>
                <w:rFonts w:ascii="Noto Sans CJK SC" w:hAnsi="Noto Sans CJK SC"/>
                <w:sz w:val="16"/>
              </w:rPr>
              <w:t>VAE 退出主线，仅 Direct-vs-VAE 消融</w:t>
            </w:r>
          </w:p>
        </w:tc>
      </w:tr>
      <w:tr>
        <w:tc>
          <w:tcPr>
            <w:tcW w:type="dxa" w:w="2948"/>
            <w:vAlign w:val="center"/>
          </w:tcPr>
          <w:p>
            <w:pPr>
              <w:spacing w:before="0" w:after="0" w:line="252" w:lineRule="auto"/>
            </w:pPr>
            <w:r>
              <w:rPr>
                <w:rFonts w:ascii="Noto Sans CJK SC" w:hAnsi="Noto Sans CJK SC"/>
                <w:sz w:val="16"/>
              </w:rPr>
              <w:t>OT-CFM（无 OT coupling）</w:t>
            </w:r>
          </w:p>
        </w:tc>
        <w:tc>
          <w:tcPr>
            <w:tcW w:type="dxa" w:w="3969"/>
            <w:vAlign w:val="center"/>
          </w:tcPr>
          <w:p>
            <w:pPr>
              <w:spacing w:before="0" w:after="0" w:line="252" w:lineRule="auto"/>
            </w:pPr>
            <w:r>
              <w:rPr>
                <w:rFonts w:ascii="Noto Sans CJK SC" w:hAnsi="Noto Sans CJK SC"/>
                <w:sz w:val="16"/>
              </w:rPr>
              <w:t>Conditional Flow Matching (CFM)</w:t>
            </w:r>
          </w:p>
        </w:tc>
        <w:tc>
          <w:tcPr>
            <w:tcW w:type="dxa" w:w="3061"/>
            <w:vAlign w:val="center"/>
          </w:tcPr>
          <w:p>
            <w:pPr>
              <w:spacing w:before="0" w:after="0" w:line="252" w:lineRule="auto"/>
            </w:pPr>
            <w:r>
              <w:rPr>
                <w:rFonts w:ascii="Noto Sans CJK SC" w:hAnsi="Noto Sans CJK SC"/>
                <w:sz w:val="16"/>
              </w:rPr>
              <w:t>只有真正 minibatch OT/Sinkhorn pairing 才允许称 OT-CFM</w:t>
            </w:r>
          </w:p>
        </w:tc>
      </w:tr>
      <w:tr>
        <w:tc>
          <w:tcPr>
            <w:tcW w:type="dxa" w:w="2948"/>
            <w:vAlign w:val="center"/>
          </w:tcPr>
          <w:p>
            <w:pPr>
              <w:spacing w:before="0" w:after="0" w:line="252" w:lineRule="auto"/>
            </w:pPr>
            <w:r>
              <w:rPr>
                <w:rFonts w:ascii="Noto Sans CJK SC" w:hAnsi="Noto Sans CJK SC"/>
                <w:sz w:val="16"/>
              </w:rPr>
              <w:t>future NWP 混写</w:t>
            </w:r>
          </w:p>
        </w:tc>
        <w:tc>
          <w:tcPr>
            <w:tcW w:type="dxa" w:w="3969"/>
            <w:vAlign w:val="center"/>
          </w:tcPr>
          <w:p>
            <w:pPr>
              <w:spacing w:before="0" w:after="0" w:line="252" w:lineRule="auto"/>
            </w:pPr>
            <w:r>
              <w:rPr>
                <w:rFonts w:ascii="Noto Sans CJK SC" w:hAnsi="Noto Sans CJK SC"/>
                <w:sz w:val="16"/>
              </w:rPr>
              <w:t>History-only 主协议 / Oracle-ERA5 上界 / Issue-time forecast 协议</w:t>
            </w:r>
          </w:p>
        </w:tc>
        <w:tc>
          <w:tcPr>
            <w:tcW w:type="dxa" w:w="3061"/>
            <w:vAlign w:val="center"/>
          </w:tcPr>
          <w:p>
            <w:pPr>
              <w:spacing w:before="0" w:after="0" w:line="252" w:lineRule="auto"/>
            </w:pPr>
            <w:r>
              <w:rPr>
                <w:rFonts w:ascii="Noto Sans CJK SC" w:hAnsi="Noto Sans CJK SC"/>
                <w:sz w:val="16"/>
              </w:rPr>
              <w:t>彻底区分运行时可用性</w:t>
            </w:r>
          </w:p>
        </w:tc>
      </w:tr>
      <w:tr>
        <w:tc>
          <w:tcPr>
            <w:tcW w:type="dxa" w:w="2948"/>
            <w:vAlign w:val="center"/>
          </w:tcPr>
          <w:p>
            <w:pPr>
              <w:spacing w:before="0" w:after="0" w:line="252" w:lineRule="auto"/>
            </w:pPr>
            <w:r>
              <w:rPr>
                <w:rFonts w:ascii="Noto Sans CJK SC" w:hAnsi="Noto Sans CJK SC"/>
                <w:sz w:val="16"/>
              </w:rPr>
              <w:t>Track A/B 作为校准核心</w:t>
            </w:r>
          </w:p>
        </w:tc>
        <w:tc>
          <w:tcPr>
            <w:tcW w:type="dxa" w:w="3969"/>
            <w:vAlign w:val="center"/>
          </w:tcPr>
          <w:p>
            <w:pPr>
              <w:spacing w:before="0" w:after="0" w:line="252" w:lineRule="auto"/>
            </w:pPr>
            <w:r>
              <w:rPr>
                <w:rFonts w:ascii="Noto Sans CJK SC" w:hAnsi="Noto Sans CJK SC"/>
                <w:sz w:val="16"/>
              </w:rPr>
              <w:t>Per-horizon split conformal/CQR 为 correctness anchor；ACI、context、fallback 逐级增强</w:t>
            </w:r>
          </w:p>
        </w:tc>
        <w:tc>
          <w:tcPr>
            <w:tcW w:type="dxa" w:w="3061"/>
            <w:vAlign w:val="center"/>
          </w:tcPr>
          <w:p>
            <w:pPr>
              <w:spacing w:before="0" w:after="0" w:line="252" w:lineRule="auto"/>
            </w:pPr>
            <w:r>
              <w:rPr>
                <w:rFonts w:ascii="Noto Sans CJK SC" w:hAnsi="Noto Sans CJK SC"/>
                <w:sz w:val="16"/>
              </w:rPr>
              <w:t>理论 Claim 降级并分层</w:t>
            </w:r>
          </w:p>
        </w:tc>
      </w:tr>
      <w:tr>
        <w:tc>
          <w:tcPr>
            <w:tcW w:type="dxa" w:w="2948"/>
            <w:vAlign w:val="center"/>
          </w:tcPr>
          <w:p>
            <w:pPr>
              <w:spacing w:before="0" w:after="0" w:line="252" w:lineRule="auto"/>
            </w:pPr>
            <w:r>
              <w:rPr>
                <w:rFonts w:ascii="Noto Sans CJK SC" w:hAnsi="Noto Sans CJK SC"/>
                <w:sz w:val="16"/>
              </w:rPr>
              <w:t>学习式 Level 1–4 风险头</w:t>
            </w:r>
          </w:p>
        </w:tc>
        <w:tc>
          <w:tcPr>
            <w:tcW w:type="dxa" w:w="3969"/>
            <w:vAlign w:val="center"/>
          </w:tcPr>
          <w:p>
            <w:pPr>
              <w:spacing w:before="0" w:after="0" w:line="252" w:lineRule="auto"/>
            </w:pPr>
            <w:r>
              <w:rPr>
                <w:rFonts w:ascii="Noto Sans CJK SC" w:hAnsi="Noto Sans CJK SC"/>
                <w:sz w:val="16"/>
              </w:rPr>
              <w:t>连续 wind-side risk vector</w:t>
            </w:r>
          </w:p>
        </w:tc>
        <w:tc>
          <w:tcPr>
            <w:tcW w:type="dxa" w:w="3061"/>
            <w:vAlign w:val="center"/>
          </w:tcPr>
          <w:p>
            <w:pPr>
              <w:spacing w:before="0" w:after="0" w:line="252" w:lineRule="auto"/>
            </w:pPr>
            <w:r>
              <w:rPr>
                <w:rFonts w:ascii="Noto Sans CJK SC" w:hAnsi="Noto Sans CJK SC"/>
                <w:sz w:val="16"/>
              </w:rPr>
              <w:t>等级只允许透明 rule-based demo，不作为监督学习目标</w:t>
            </w:r>
          </w:p>
        </w:tc>
      </w:tr>
      <w:tr>
        <w:tc>
          <w:tcPr>
            <w:tcW w:type="dxa" w:w="2948"/>
            <w:vAlign w:val="center"/>
          </w:tcPr>
          <w:p>
            <w:pPr>
              <w:spacing w:before="0" w:after="0" w:line="252" w:lineRule="auto"/>
            </w:pPr>
            <w:r>
              <w:rPr>
                <w:rFonts w:ascii="Noto Sans CJK SC" w:hAnsi="Noto Sans CJK SC"/>
                <w:sz w:val="16"/>
              </w:rPr>
              <w:t>Sobol 四源严格分解</w:t>
            </w:r>
          </w:p>
        </w:tc>
        <w:tc>
          <w:tcPr>
            <w:tcW w:type="dxa" w:w="3969"/>
            <w:vAlign w:val="center"/>
          </w:tcPr>
          <w:p>
            <w:pPr>
              <w:spacing w:before="0" w:after="0" w:line="252" w:lineRule="auto"/>
            </w:pPr>
            <w:r>
              <w:rPr>
                <w:rFonts w:ascii="Noto Sans CJK SC" w:hAnsi="Noto Sans CJK SC"/>
                <w:sz w:val="16"/>
              </w:rPr>
              <w:t>IG + controlled missing counterfactual + 条件化 Sobol sensitivity</w:t>
            </w:r>
          </w:p>
        </w:tc>
        <w:tc>
          <w:tcPr>
            <w:tcW w:type="dxa" w:w="3061"/>
            <w:vAlign w:val="center"/>
          </w:tcPr>
          <w:p>
            <w:pPr>
              <w:spacing w:before="0" w:after="0" w:line="252" w:lineRule="auto"/>
            </w:pPr>
            <w:r>
              <w:rPr>
                <w:rFonts w:ascii="Noto Sans CJK SC" w:hAnsi="Noto Sans CJK SC"/>
                <w:sz w:val="16"/>
              </w:rPr>
              <w:t>不再宣称四源正交可识别</w:t>
            </w:r>
          </w:p>
        </w:tc>
      </w:tr>
      <w:tr>
        <w:tc>
          <w:tcPr>
            <w:tcW w:type="dxa" w:w="2948"/>
            <w:vAlign w:val="center"/>
          </w:tcPr>
          <w:p>
            <w:pPr>
              <w:spacing w:before="0" w:after="0" w:line="252" w:lineRule="auto"/>
            </w:pPr>
            <w:r>
              <w:rPr>
                <w:rFonts w:ascii="Noto Sans CJK SC" w:hAnsi="Noto Sans CJK SC"/>
                <w:sz w:val="16"/>
              </w:rPr>
              <w:t>A_wake</w:t>
            </w:r>
          </w:p>
        </w:tc>
        <w:tc>
          <w:tcPr>
            <w:tcW w:type="dxa" w:w="3969"/>
            <w:vAlign w:val="center"/>
          </w:tcPr>
          <w:p>
            <w:pPr>
              <w:spacing w:before="0" w:after="0" w:line="252" w:lineRule="auto"/>
            </w:pPr>
            <w:r>
              <w:rPr>
                <w:rFonts w:ascii="Noto Sans CJK SC" w:hAnsi="Noto Sans CJK SC"/>
                <w:sz w:val="16"/>
              </w:rPr>
              <w:t>A_dir / directional-advection graph</w:t>
            </w:r>
          </w:p>
        </w:tc>
        <w:tc>
          <w:tcPr>
            <w:tcW w:type="dxa" w:w="3061"/>
            <w:vAlign w:val="center"/>
          </w:tcPr>
          <w:p>
            <w:pPr>
              <w:spacing w:before="0" w:after="0" w:line="252" w:lineRule="auto"/>
            </w:pPr>
            <w:r>
              <w:rPr>
                <w:rFonts w:ascii="Noto Sans CJK SC" w:hAnsi="Noto Sans CJK SC"/>
                <w:sz w:val="16"/>
              </w:rPr>
              <w:t>只编码方向弱先验，不宣称真实 wake deficit</w:t>
            </w:r>
          </w:p>
        </w:tc>
      </w:tr>
    </w:tbl>
    <w:p>
      <w:pPr>
        <w:spacing w:after="0"/>
      </w:pPr>
    </w:p>
    <w:tbl>
      <w:tblPr>
        <w:tblW w:type="auto" w:w="0"/>
        <w:jc w:val="center"/>
        <w:tblLook w:firstColumn="1" w:firstRow="1" w:lastColumn="0" w:lastRow="0" w:noHBand="0" w:noVBand="1" w:val="04A0"/>
      </w:tblPr>
      <w:tblGrid>
        <w:gridCol w:w="9978"/>
      </w:tblGrid>
      <w:tr>
        <w:tc>
          <w:tcPr>
            <w:tcW w:type="dxa" w:w="9978"/>
            <w:shd w:fill="EDF4F8"/>
            <w:tcBorders>
              <w:top w:val="single" w:sz="6" w:color="A8BBC7"/>
              <w:bottom w:val="single" w:sz="6" w:color="A8BBC7"/>
              <w:left w:val="single" w:sz="6" w:color="A8BBC7"/>
              <w:right w:val="single" w:sz="6" w:color="A8BBC7"/>
            </w:tcBorders>
          </w:tcPr>
          <w:p>
            <w:pPr>
              <w:spacing w:before="80" w:after="80"/>
            </w:pPr>
            <w:r>
              <w:rPr>
                <w:b/>
                <w:color w:val="243746"/>
                <w:sz w:val="19"/>
              </w:rPr>
              <w:t>总纲：每一层只负责一个可被实验否证的任务；任何模块若无法回答“解决哪个失效模式、运行时信息是否可用、删掉后哪个指标应稳定变差”，就不进入主线。</w:t>
            </w:r>
          </w:p>
        </w:tc>
      </w:tr>
    </w:tbl>
    <w:p>
      <w:pPr>
        <w:pStyle w:val="Heading1"/>
      </w:pPr>
      <w:r>
        <w:t>1. 研究定位、边界与目标</w:t>
      </w:r>
    </w:p>
    <w:p>
      <w:pPr>
        <w:pStyle w:val="Heading2"/>
      </w:pPr>
      <w:r>
        <w:t>1.1 核心科学问题</w:t>
      </w:r>
    </w:p>
    <w:p>
      <w:r>
        <w:rPr>
          <w:i w:val="0"/>
        </w:rPr>
        <w:t>PR-Warn++ 面向 10–60 min 超短期多风机预测，重点研究极端/突变工况与数据退化条件下的三个问题：确定性中心能否保持稳健；联合概率场景能否保持多风机、多时效依赖；这些场景经可解释校准后，能否提供具有真实事件预测 skill 的 ramp/tail 风险代理。</w:t>
      </w:r>
    </w:p>
    <w:p>
      <w:pPr>
        <w:pStyle w:val="Heading2"/>
      </w:pPr>
      <w:r>
        <w:t>1.2 可支持与不可支持的风险范围</w:t>
      </w:r>
    </w:p>
    <w:tbl>
      <w:tblPr>
        <w:tblStyle w:val="TableGrid"/>
        <w:tblW w:type="auto" w:w="0"/>
        <w:jc w:val="center"/>
        <w:tblLook w:firstColumn="1" w:firstRow="1" w:lastColumn="0" w:lastRow="0" w:noHBand="0" w:noVBand="1" w:val="04A0"/>
      </w:tblPr>
      <w:tblGrid>
        <w:gridCol w:w="3326"/>
        <w:gridCol w:w="3326"/>
        <w:gridCol w:w="3326"/>
      </w:tblGrid>
      <w:tr>
        <w:tc>
          <w:tcPr>
            <w:tcW w:type="dxa" w:w="1361"/>
            <w:shd w:fill="DCEAF3"/>
            <w:vAlign w:val="center"/>
          </w:tcPr>
          <w:p>
            <w:pPr>
              <w:jc w:val="center"/>
            </w:pPr>
            <w:r>
              <w:rPr>
                <w:b/>
                <w:color w:val="243746"/>
                <w:sz w:val="16"/>
              </w:rPr>
              <w:t>类别</w:t>
            </w:r>
          </w:p>
        </w:tc>
        <w:tc>
          <w:tcPr>
            <w:tcW w:type="dxa" w:w="4649"/>
            <w:shd w:fill="DCEAF3"/>
            <w:vAlign w:val="center"/>
          </w:tcPr>
          <w:p>
            <w:pPr>
              <w:jc w:val="center"/>
            </w:pPr>
            <w:r>
              <w:rPr>
                <w:b/>
                <w:color w:val="243746"/>
                <w:sz w:val="16"/>
              </w:rPr>
              <w:t>允许的研究声明</w:t>
            </w:r>
          </w:p>
        </w:tc>
        <w:tc>
          <w:tcPr>
            <w:tcW w:type="dxa" w:w="3969"/>
            <w:shd w:fill="DCEAF3"/>
            <w:vAlign w:val="center"/>
          </w:tcPr>
          <w:p>
            <w:pPr>
              <w:jc w:val="center"/>
            </w:pPr>
            <w:r>
              <w:rPr>
                <w:b/>
                <w:color w:val="243746"/>
                <w:sz w:val="16"/>
              </w:rPr>
              <w:t>边界</w:t>
            </w:r>
          </w:p>
        </w:tc>
      </w:tr>
      <w:tr>
        <w:tc>
          <w:tcPr>
            <w:tcW w:type="dxa" w:w="1361"/>
            <w:vAlign w:val="center"/>
          </w:tcPr>
          <w:p>
            <w:pPr>
              <w:spacing w:before="0" w:after="0" w:line="252" w:lineRule="auto"/>
            </w:pPr>
            <w:r>
              <w:rPr>
                <w:rFonts w:ascii="Noto Sans CJK SC" w:hAnsi="Noto Sans CJK SC"/>
                <w:sz w:val="16"/>
              </w:rPr>
              <w:t>可支持</w:t>
            </w:r>
          </w:p>
        </w:tc>
        <w:tc>
          <w:tcPr>
            <w:tcW w:type="dxa" w:w="4649"/>
            <w:vAlign w:val="center"/>
          </w:tcPr>
          <w:p>
            <w:pPr>
              <w:spacing w:before="0" w:after="0" w:line="252" w:lineRule="auto"/>
            </w:pPr>
            <w:r>
              <w:rPr>
                <w:rFonts w:ascii="Noto Sans CJK SC" w:hAnsi="Noto Sans CJK SC"/>
                <w:sz w:val="16"/>
              </w:rPr>
              <w:t>风场聚合功率正/负偏差；上/下 ramp probability；定义明确的 proxy loss 的 VaR/CVaR；模型 OOD/ensemble disagreement；数据质量退化指标</w:t>
            </w:r>
          </w:p>
        </w:tc>
        <w:tc>
          <w:tcPr>
            <w:tcW w:type="dxa" w:w="3969"/>
            <w:vAlign w:val="center"/>
          </w:tcPr>
          <w:p>
            <w:pPr>
              <w:spacing w:before="0" w:after="0" w:line="252" w:lineRule="auto"/>
            </w:pPr>
            <w:r>
              <w:rPr>
                <w:rFonts w:ascii="Noto Sans CJK SC" w:hAnsi="Noto Sans CJK SC"/>
                <w:sz w:val="16"/>
              </w:rPr>
              <w:t>均可由风电侧观测、预测场景和模型输出直接计算并用 future ramp/event truth 评价</w:t>
            </w:r>
          </w:p>
        </w:tc>
      </w:tr>
      <w:tr>
        <w:tc>
          <w:tcPr>
            <w:tcW w:type="dxa" w:w="1361"/>
            <w:vAlign w:val="center"/>
          </w:tcPr>
          <w:p>
            <w:pPr>
              <w:spacing w:before="0" w:after="0" w:line="252" w:lineRule="auto"/>
            </w:pPr>
            <w:r>
              <w:rPr>
                <w:rFonts w:ascii="Noto Sans CJK SC" w:hAnsi="Noto Sans CJK SC"/>
                <w:sz w:val="16"/>
              </w:rPr>
              <w:t>不可直接支持</w:t>
            </w:r>
          </w:p>
        </w:tc>
        <w:tc>
          <w:tcPr>
            <w:tcW w:type="dxa" w:w="4649"/>
            <w:vAlign w:val="center"/>
          </w:tcPr>
          <w:p>
            <w:pPr>
              <w:spacing w:before="0" w:after="0" w:line="252" w:lineRule="auto"/>
            </w:pPr>
            <w:r>
              <w:rPr>
                <w:rFonts w:ascii="Noto Sans CJK SC" w:hAnsi="Noto Sans CJK SC"/>
                <w:sz w:val="16"/>
              </w:rPr>
              <w:t>线路潮流越限、母线电压稳定、系统频率动态、真实旋转备用充足性、真实调度成本</w:t>
            </w:r>
          </w:p>
        </w:tc>
        <w:tc>
          <w:tcPr>
            <w:tcW w:type="dxa" w:w="3969"/>
            <w:vAlign w:val="center"/>
          </w:tcPr>
          <w:p>
            <w:pPr>
              <w:spacing w:before="0" w:after="0" w:line="252" w:lineRule="auto"/>
            </w:pPr>
            <w:r>
              <w:rPr>
                <w:rFonts w:ascii="Noto Sans CJK SC" w:hAnsi="Noto Sans CJK SC"/>
                <w:sz w:val="16"/>
              </w:rPr>
              <w:t>缺少完整电网拓扑、负荷、机组调度与动态电网模型；若要升级需另接 RTS-GMLC/IEEE test system stochastic dispatch</w:t>
            </w:r>
          </w:p>
        </w:tc>
      </w:tr>
    </w:tbl>
    <w:p>
      <w:pPr>
        <w:spacing w:after="0"/>
      </w:pPr>
    </w:p>
    <w:p>
      <w:pPr>
        <w:pStyle w:val="Heading2"/>
      </w:pPr>
      <w:r>
        <w:t>1.3 研究目标</w:t>
      </w:r>
    </w:p>
    <w:p>
      <w:pPr>
        <w:pStyle w:val="ListBullet"/>
        <w:spacing w:after="30"/>
      </w:pPr>
      <w:r>
        <w:t>在不删除时间点的前提下处理 missing / unknown / abnormal，保留 X_fill、M、ΔT 和 reason_code。</w:t>
      </w:r>
    </w:p>
    <w:p>
      <w:pPr>
        <w:pStyle w:val="ListBullet"/>
        <w:spacing w:after="30"/>
      </w:pPr>
      <w:r>
        <w:t>用空气密度修正后的训练集经验功率曲线提供弱物理中心，让学习器聚焦于该中心未解释的动态残差。</w:t>
      </w:r>
    </w:p>
    <w:p>
      <w:pPr>
        <w:pStyle w:val="ListBullet"/>
        <w:spacing w:after="30"/>
      </w:pPr>
      <w:r>
        <w:t>利用 geographic / correlation / directional / adaptive 多图刻画机组空间、统计、方向传播和隐式依赖。</w:t>
      </w:r>
    </w:p>
    <w:p>
      <w:pPr>
        <w:pStyle w:val="ListBullet"/>
        <w:spacing w:after="30"/>
      </w:pPr>
      <w:r>
        <w:t>直接在最终预测误差 E 上用 Conditional Flow Matching 生成多风机、多时效联合场景，不引入不必要的 VAE 重构误差。</w:t>
      </w:r>
    </w:p>
    <w:p>
      <w:pPr>
        <w:pStyle w:val="ListBullet"/>
        <w:spacing w:after="30"/>
      </w:pPr>
      <w:r>
        <w:t>以 per-horizon split conformal/CQR 为校准理论锚点，并将 ACI、context kernel 和 worst-subgroup fallback 明确定位为逐级增强。</w:t>
      </w:r>
    </w:p>
    <w:p>
      <w:pPr>
        <w:pStyle w:val="ListBullet"/>
        <w:spacing w:after="30"/>
      </w:pPr>
      <w:r>
        <w:t>用连续 p_dev、p_ramp、CVaR、OOD、data-quality 指标构成 wind-side risk proxy，并以 Brier/AUPRC/reliability 等验证其事件预测能力。</w:t>
      </w:r>
    </w:p>
    <w:p>
      <w:pPr>
        <w:pStyle w:val="Heading1"/>
      </w:pPr>
      <w:r>
        <w:t>2. 文献支撑链与设计原则</w:t>
      </w:r>
    </w:p>
    <w:p>
      <w:r>
        <w:rPr>
          <w:i w:val="0"/>
        </w:rPr>
        <w:t>证据等级沿用指导书：A=同类任务/同类机制直接证据；B=相邻任务或更一般理论；C=工程假设。C 级选择必须通过敏感性或消融成为本文自己的实证证据。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644"/>
            <w:shd w:fill="DCEAF3"/>
            <w:vAlign w:val="center"/>
          </w:tcPr>
          <w:p>
            <w:pPr>
              <w:jc w:val="center"/>
            </w:pPr>
            <w:r>
              <w:rPr>
                <w:b/>
                <w:color w:val="243746"/>
                <w:sz w:val="15"/>
              </w:rPr>
              <w:t>模块</w:t>
            </w:r>
          </w:p>
        </w:tc>
        <w:tc>
          <w:tcPr>
            <w:tcW w:type="dxa" w:w="3458"/>
            <w:shd w:fill="DCEAF3"/>
            <w:vAlign w:val="center"/>
          </w:tcPr>
          <w:p>
            <w:pPr>
              <w:jc w:val="center"/>
            </w:pPr>
            <w:r>
              <w:rPr>
                <w:b/>
                <w:color w:val="243746"/>
                <w:sz w:val="15"/>
              </w:rPr>
              <w:t>v3.2 采用方式</w:t>
            </w:r>
          </w:p>
        </w:tc>
        <w:tc>
          <w:tcPr>
            <w:tcW w:type="dxa" w:w="2835"/>
            <w:shd w:fill="DCEAF3"/>
            <w:vAlign w:val="center"/>
          </w:tcPr>
          <w:p>
            <w:pPr>
              <w:jc w:val="center"/>
            </w:pPr>
            <w:r>
              <w:rPr>
                <w:b/>
                <w:color w:val="243746"/>
                <w:sz w:val="15"/>
              </w:rPr>
              <w:t>主要依据/证据等级</w:t>
            </w:r>
          </w:p>
        </w:tc>
        <w:tc>
          <w:tcPr>
            <w:tcW w:type="dxa" w:w="2154"/>
            <w:shd w:fill="DCEAF3"/>
            <w:vAlign w:val="center"/>
          </w:tcPr>
          <w:p>
            <w:pPr>
              <w:jc w:val="center"/>
            </w:pPr>
            <w:r>
              <w:rPr>
                <w:b/>
                <w:color w:val="243746"/>
                <w:sz w:val="15"/>
              </w:rPr>
              <w:t>写作边界</w:t>
            </w:r>
          </w:p>
        </w:tc>
      </w:tr>
      <w:tr>
        <w:tc>
          <w:tcPr>
            <w:tcW w:type="dxa" w:w="1644"/>
            <w:vAlign w:val="center"/>
          </w:tcPr>
          <w:p>
            <w:pPr>
              <w:spacing w:before="0" w:after="0" w:line="252" w:lineRule="auto"/>
            </w:pPr>
            <w:r>
              <w:rPr>
                <w:rFonts w:ascii="Noto Sans CJK SC" w:hAnsi="Noto Sans CJK SC"/>
                <w:sz w:val="15"/>
              </w:rPr>
              <w:t>时间连续性与缺失</w:t>
            </w:r>
          </w:p>
        </w:tc>
        <w:tc>
          <w:tcPr>
            <w:tcW w:type="dxa" w:w="3458"/>
            <w:vAlign w:val="center"/>
          </w:tcPr>
          <w:p>
            <w:pPr>
              <w:spacing w:before="0" w:after="0" w:line="252" w:lineRule="auto"/>
            </w:pPr>
            <w:r>
              <w:rPr>
                <w:rFonts w:ascii="Noto Sans CJK SC" w:hAnsi="Noto Sans CJK SC"/>
                <w:sz w:val="15"/>
              </w:rPr>
              <w:t>Rigid grid + X_fill/M/ΔT + masked loss</w:t>
            </w:r>
          </w:p>
        </w:tc>
        <w:tc>
          <w:tcPr>
            <w:tcW w:type="dxa" w:w="2835"/>
            <w:vAlign w:val="center"/>
          </w:tcPr>
          <w:p>
            <w:pPr>
              <w:spacing w:before="0" w:after="0" w:line="252" w:lineRule="auto"/>
            </w:pPr>
            <w:r>
              <w:rPr>
                <w:rFonts w:ascii="Noto Sans CJK SC" w:hAnsi="Noto Sans CJK SC"/>
                <w:sz w:val="15"/>
              </w:rPr>
              <w:t>GRU-D [R3]；BRITS [R4]；SAITS [R5]，A/B</w:t>
            </w:r>
          </w:p>
        </w:tc>
        <w:tc>
          <w:tcPr>
            <w:tcW w:type="dxa" w:w="2154"/>
            <w:vAlign w:val="center"/>
          </w:tcPr>
          <w:p>
            <w:pPr>
              <w:spacing w:before="0" w:after="0" w:line="252" w:lineRule="auto"/>
            </w:pPr>
            <w:r>
              <w:rPr>
                <w:rFonts w:ascii="Noto Sans CJK SC" w:hAnsi="Noto Sans CJK SC"/>
                <w:sz w:val="15"/>
              </w:rPr>
              <w:t>填充值只是计算载体，不当真值</w:t>
            </w:r>
          </w:p>
        </w:tc>
      </w:tr>
      <w:tr>
        <w:tc>
          <w:tcPr>
            <w:tcW w:type="dxa" w:w="1644"/>
            <w:vAlign w:val="center"/>
          </w:tcPr>
          <w:p>
            <w:pPr>
              <w:spacing w:before="0" w:after="0" w:line="252" w:lineRule="auto"/>
            </w:pPr>
            <w:r>
              <w:rPr>
                <w:rFonts w:ascii="Noto Sans CJK SC" w:hAnsi="Noto Sans CJK SC"/>
                <w:sz w:val="15"/>
              </w:rPr>
              <w:t>弱物理中心</w:t>
            </w:r>
          </w:p>
        </w:tc>
        <w:tc>
          <w:tcPr>
            <w:tcW w:type="dxa" w:w="3458"/>
            <w:vAlign w:val="center"/>
          </w:tcPr>
          <w:p>
            <w:pPr>
              <w:spacing w:before="0" w:after="0" w:line="252" w:lineRule="auto"/>
            </w:pPr>
            <w:r>
              <w:rPr>
                <w:rFonts w:ascii="Noto Sans CJK SC" w:hAnsi="Noto Sans CJK SC"/>
                <w:sz w:val="15"/>
              </w:rPr>
              <w:t>ρ→v_eq→Train-only empirical power curve</w:t>
            </w:r>
          </w:p>
        </w:tc>
        <w:tc>
          <w:tcPr>
            <w:tcW w:type="dxa" w:w="2835"/>
            <w:vAlign w:val="center"/>
          </w:tcPr>
          <w:p>
            <w:pPr>
              <w:spacing w:before="0" w:after="0" w:line="252" w:lineRule="auto"/>
            </w:pPr>
            <w:r>
              <w:rPr>
                <w:rFonts w:ascii="Noto Sans CJK SC" w:hAnsi="Noto Sans CJK SC"/>
                <w:sz w:val="15"/>
              </w:rPr>
              <w:t>IEC/PWCG [R6]，A/B</w:t>
            </w:r>
          </w:p>
        </w:tc>
        <w:tc>
          <w:tcPr>
            <w:tcW w:type="dxa" w:w="2154"/>
            <w:vAlign w:val="center"/>
          </w:tcPr>
          <w:p>
            <w:pPr>
              <w:spacing w:before="0" w:after="0" w:line="252" w:lineRule="auto"/>
            </w:pPr>
            <w:r>
              <w:rPr>
                <w:rFonts w:ascii="Noto Sans CJK SC" w:hAnsi="Noto Sans CJK SC"/>
                <w:sz w:val="15"/>
              </w:rPr>
              <w:t>称 empirical physical normalization / weak prior，不称精确空气动力学</w:t>
            </w:r>
          </w:p>
        </w:tc>
      </w:tr>
      <w:tr>
        <w:tc>
          <w:tcPr>
            <w:tcW w:type="dxa" w:w="1644"/>
            <w:vAlign w:val="center"/>
          </w:tcPr>
          <w:p>
            <w:pPr>
              <w:spacing w:before="0" w:after="0" w:line="252" w:lineRule="auto"/>
            </w:pPr>
            <w:r>
              <w:rPr>
                <w:rFonts w:ascii="Noto Sans CJK SC" w:hAnsi="Noto Sans CJK SC"/>
                <w:sz w:val="15"/>
              </w:rPr>
              <w:t>动态图</w:t>
            </w:r>
          </w:p>
        </w:tc>
        <w:tc>
          <w:tcPr>
            <w:tcW w:type="dxa" w:w="3458"/>
            <w:vAlign w:val="center"/>
          </w:tcPr>
          <w:p>
            <w:pPr>
              <w:spacing w:before="0" w:after="0" w:line="252" w:lineRule="auto"/>
            </w:pPr>
            <w:r>
              <w:rPr>
                <w:rFonts w:ascii="Noto Sans CJK SC" w:hAnsi="Noto Sans CJK SC"/>
                <w:sz w:val="15"/>
              </w:rPr>
              <w:t>A_geo/A_corr/A_dir/A_adp + dynamic gate</w:t>
            </w:r>
          </w:p>
        </w:tc>
        <w:tc>
          <w:tcPr>
            <w:tcW w:type="dxa" w:w="2835"/>
            <w:vAlign w:val="center"/>
          </w:tcPr>
          <w:p>
            <w:pPr>
              <w:spacing w:before="0" w:after="0" w:line="252" w:lineRule="auto"/>
            </w:pPr>
            <w:r>
              <w:rPr>
                <w:rFonts w:ascii="Noto Sans CJK SC" w:hAnsi="Noto Sans CJK SC"/>
                <w:sz w:val="15"/>
              </w:rPr>
              <w:t>Graph WaveNet [R7]；AGCRN [R8]；Zhao et al. [R9]；R10/R11，A/B</w:t>
            </w:r>
          </w:p>
        </w:tc>
        <w:tc>
          <w:tcPr>
            <w:tcW w:type="dxa" w:w="2154"/>
            <w:vAlign w:val="center"/>
          </w:tcPr>
          <w:p>
            <w:pPr>
              <w:spacing w:before="0" w:after="0" w:line="252" w:lineRule="auto"/>
            </w:pPr>
            <w:r>
              <w:rPr>
                <w:rFonts w:ascii="Noto Sans CJK SC" w:hAnsi="Noto Sans CJK SC"/>
                <w:sz w:val="15"/>
              </w:rPr>
              <w:t>A_dir 是 directional/advection prior，不是 Jensen wake loss</w:t>
            </w:r>
          </w:p>
        </w:tc>
      </w:tr>
      <w:tr>
        <w:tc>
          <w:tcPr>
            <w:tcW w:type="dxa" w:w="1644"/>
            <w:vAlign w:val="center"/>
          </w:tcPr>
          <w:p>
            <w:pPr>
              <w:spacing w:before="0" w:after="0" w:line="252" w:lineRule="auto"/>
            </w:pPr>
            <w:r>
              <w:rPr>
                <w:rFonts w:ascii="Noto Sans CJK SC" w:hAnsi="Noto Sans CJK SC"/>
                <w:sz w:val="15"/>
              </w:rPr>
              <w:t>残差学习</w:t>
            </w:r>
          </w:p>
        </w:tc>
        <w:tc>
          <w:tcPr>
            <w:tcW w:type="dxa" w:w="3458"/>
            <w:vAlign w:val="center"/>
          </w:tcPr>
          <w:p>
            <w:pPr>
              <w:spacing w:before="0" w:after="0" w:line="252" w:lineRule="auto"/>
            </w:pPr>
            <w:r>
              <w:rPr>
                <w:rFonts w:ascii="Noto Sans CJK SC" w:hAnsi="Noto Sans CJK SC"/>
                <w:sz w:val="15"/>
              </w:rPr>
              <w:t>R=Y−P_pc；预测 R_hat</w:t>
            </w:r>
          </w:p>
        </w:tc>
        <w:tc>
          <w:tcPr>
            <w:tcW w:type="dxa" w:w="2835"/>
            <w:vAlign w:val="center"/>
          </w:tcPr>
          <w:p>
            <w:pPr>
              <w:spacing w:before="0" w:after="0" w:line="252" w:lineRule="auto"/>
            </w:pPr>
            <w:r>
              <w:rPr>
                <w:rFonts w:ascii="Noto Sans CJK SC" w:hAnsi="Noto Sans CJK SC"/>
                <w:sz w:val="15"/>
              </w:rPr>
              <w:t>physics-guided wind studies [R40,R42]，B</w:t>
            </w:r>
          </w:p>
        </w:tc>
        <w:tc>
          <w:tcPr>
            <w:tcW w:type="dxa" w:w="2154"/>
            <w:vAlign w:val="center"/>
          </w:tcPr>
          <w:p>
            <w:pPr>
              <w:spacing w:before="0" w:after="0" w:line="252" w:lineRule="auto"/>
            </w:pPr>
            <w:r>
              <w:rPr>
                <w:rFonts w:ascii="Noto Sans CJK SC" w:hAnsi="Noto Sans CJK SC"/>
                <w:sz w:val="15"/>
              </w:rPr>
              <w:t>必须在 extreme subset 验证，不只总 RMSE</w:t>
            </w:r>
          </w:p>
        </w:tc>
      </w:tr>
      <w:tr>
        <w:tc>
          <w:tcPr>
            <w:tcW w:type="dxa" w:w="1644"/>
            <w:vAlign w:val="center"/>
          </w:tcPr>
          <w:p>
            <w:pPr>
              <w:spacing w:before="0" w:after="0" w:line="252" w:lineRule="auto"/>
            </w:pPr>
            <w:r>
              <w:rPr>
                <w:rFonts w:ascii="Noto Sans CJK SC" w:hAnsi="Noto Sans CJK SC"/>
                <w:sz w:val="15"/>
              </w:rPr>
              <w:t>Direct CFM</w:t>
            </w:r>
          </w:p>
        </w:tc>
        <w:tc>
          <w:tcPr>
            <w:tcW w:type="dxa" w:w="3458"/>
            <w:vAlign w:val="center"/>
          </w:tcPr>
          <w:p>
            <w:pPr>
              <w:spacing w:before="0" w:after="0" w:line="252" w:lineRule="auto"/>
            </w:pPr>
            <w:r>
              <w:rPr>
                <w:rFonts w:ascii="Noto Sans CJK SC" w:hAnsi="Noto Sans CJK SC"/>
                <w:sz w:val="15"/>
              </w:rPr>
              <w:t>对 E=Y−Y_det 做 conditional flow matching</w:t>
            </w:r>
          </w:p>
        </w:tc>
        <w:tc>
          <w:tcPr>
            <w:tcW w:type="dxa" w:w="2835"/>
            <w:vAlign w:val="center"/>
          </w:tcPr>
          <w:p>
            <w:pPr>
              <w:spacing w:before="0" w:after="0" w:line="252" w:lineRule="auto"/>
            </w:pPr>
            <w:r>
              <w:rPr>
                <w:rFonts w:ascii="Noto Sans CJK SC" w:hAnsi="Noto Sans CJK SC"/>
                <w:sz w:val="15"/>
              </w:rPr>
              <w:t>Flow Matching [R14]；TSFlow [R16]，A/B</w:t>
            </w:r>
          </w:p>
        </w:tc>
        <w:tc>
          <w:tcPr>
            <w:tcW w:type="dxa" w:w="2154"/>
            <w:vAlign w:val="center"/>
          </w:tcPr>
          <w:p>
            <w:pPr>
              <w:spacing w:before="0" w:after="0" w:line="252" w:lineRule="auto"/>
            </w:pPr>
            <w:r>
              <w:rPr>
                <w:rFonts w:ascii="Noto Sans CJK SC" w:hAnsi="Noto Sans CJK SC"/>
                <w:sz w:val="15"/>
              </w:rPr>
              <w:t>无 OT coupling 就不能写 OT-CFM</w:t>
            </w:r>
          </w:p>
        </w:tc>
      </w:tr>
      <w:tr>
        <w:tc>
          <w:tcPr>
            <w:tcW w:type="dxa" w:w="1644"/>
            <w:vAlign w:val="center"/>
          </w:tcPr>
          <w:p>
            <w:pPr>
              <w:spacing w:before="0" w:after="0" w:line="252" w:lineRule="auto"/>
            </w:pPr>
            <w:r>
              <w:rPr>
                <w:rFonts w:ascii="Noto Sans CJK SC" w:hAnsi="Noto Sans CJK SC"/>
                <w:sz w:val="15"/>
              </w:rPr>
              <w:t>Conformal</w:t>
            </w:r>
          </w:p>
        </w:tc>
        <w:tc>
          <w:tcPr>
            <w:tcW w:type="dxa" w:w="3458"/>
            <w:vAlign w:val="center"/>
          </w:tcPr>
          <w:p>
            <w:pPr>
              <w:spacing w:before="0" w:after="0" w:line="252" w:lineRule="auto"/>
            </w:pPr>
            <w:r>
              <w:rPr>
                <w:rFonts w:ascii="Noto Sans CJK SC" w:hAnsi="Noto Sans CJK SC"/>
                <w:sz w:val="15"/>
              </w:rPr>
              <w:t>split/CQR→ACI→context/fallback</w:t>
            </w:r>
          </w:p>
        </w:tc>
        <w:tc>
          <w:tcPr>
            <w:tcW w:type="dxa" w:w="2835"/>
            <w:vAlign w:val="center"/>
          </w:tcPr>
          <w:p>
            <w:pPr>
              <w:spacing w:before="0" w:after="0" w:line="252" w:lineRule="auto"/>
            </w:pPr>
            <w:r>
              <w:rPr>
                <w:rFonts w:ascii="Noto Sans CJK SC" w:hAnsi="Noto Sans CJK SC"/>
                <w:sz w:val="15"/>
              </w:rPr>
              <w:t>CQR [R19]；weighted CP [R20]；ACI [R21]；dependent CP [R22]；conditional limits [R23]</w:t>
            </w:r>
          </w:p>
        </w:tc>
        <w:tc>
          <w:tcPr>
            <w:tcW w:type="dxa" w:w="2154"/>
            <w:vAlign w:val="center"/>
          </w:tcPr>
          <w:p>
            <w:pPr>
              <w:spacing w:before="0" w:after="0" w:line="252" w:lineRule="auto"/>
            </w:pPr>
            <w:r>
              <w:rPr>
                <w:rFonts w:ascii="Noto Sans CJK SC" w:hAnsi="Noto Sans CJK SC"/>
                <w:sz w:val="15"/>
              </w:rPr>
              <w:t>主文强调 empirical/per-horizon coverage，context/fallback 不宣称 universal hard guarantee</w:t>
            </w:r>
          </w:p>
        </w:tc>
      </w:tr>
      <w:tr>
        <w:tc>
          <w:tcPr>
            <w:tcW w:type="dxa" w:w="1644"/>
            <w:vAlign w:val="center"/>
          </w:tcPr>
          <w:p>
            <w:pPr>
              <w:spacing w:before="0" w:after="0" w:line="252" w:lineRule="auto"/>
            </w:pPr>
            <w:r>
              <w:rPr>
                <w:rFonts w:ascii="Noto Sans CJK SC" w:hAnsi="Noto Sans CJK SC"/>
                <w:sz w:val="15"/>
              </w:rPr>
              <w:t>风险代理</w:t>
            </w:r>
          </w:p>
        </w:tc>
        <w:tc>
          <w:tcPr>
            <w:tcW w:type="dxa" w:w="3458"/>
            <w:vAlign w:val="center"/>
          </w:tcPr>
          <w:p>
            <w:pPr>
              <w:spacing w:before="0" w:after="0" w:line="252" w:lineRule="auto"/>
            </w:pPr>
            <w:r>
              <w:rPr>
                <w:rFonts w:ascii="Noto Sans CJK SC" w:hAnsi="Noto Sans CJK SC"/>
                <w:sz w:val="15"/>
              </w:rPr>
              <w:t>scenario-derived ramp / CVaR / OOD / data-quality</w:t>
            </w:r>
          </w:p>
        </w:tc>
        <w:tc>
          <w:tcPr>
            <w:tcW w:type="dxa" w:w="2835"/>
            <w:vAlign w:val="center"/>
          </w:tcPr>
          <w:p>
            <w:pPr>
              <w:spacing w:before="0" w:after="0" w:line="252" w:lineRule="auto"/>
            </w:pPr>
            <w:r>
              <w:rPr>
                <w:rFonts w:ascii="Noto Sans CJK SC" w:hAnsi="Noto Sans CJK SC"/>
                <w:sz w:val="15"/>
              </w:rPr>
              <w:t>Ramp [R29,R30]；CVaR [R31]；Deep Ensemble [R24]</w:t>
            </w:r>
          </w:p>
        </w:tc>
        <w:tc>
          <w:tcPr>
            <w:tcW w:type="dxa" w:w="2154"/>
            <w:vAlign w:val="center"/>
          </w:tcPr>
          <w:p>
            <w:pPr>
              <w:spacing w:before="0" w:after="0" w:line="252" w:lineRule="auto"/>
            </w:pPr>
            <w:r>
              <w:rPr>
                <w:rFonts w:ascii="Noto Sans CJK SC" w:hAnsi="Noto Sans CJK SC"/>
                <w:sz w:val="15"/>
              </w:rPr>
              <w:t>无 grid model 时只能称 wind-side proxy</w:t>
            </w:r>
          </w:p>
        </w:tc>
      </w:tr>
      <w:tr>
        <w:tc>
          <w:tcPr>
            <w:tcW w:type="dxa" w:w="1644"/>
            <w:vAlign w:val="center"/>
          </w:tcPr>
          <w:p>
            <w:pPr>
              <w:spacing w:before="0" w:after="0" w:line="252" w:lineRule="auto"/>
            </w:pPr>
            <w:r>
              <w:rPr>
                <w:rFonts w:ascii="Noto Sans CJK SC" w:hAnsi="Noto Sans CJK SC"/>
                <w:sz w:val="15"/>
              </w:rPr>
              <w:t>解释</w:t>
            </w:r>
          </w:p>
        </w:tc>
        <w:tc>
          <w:tcPr>
            <w:tcW w:type="dxa" w:w="3458"/>
            <w:vAlign w:val="center"/>
          </w:tcPr>
          <w:p>
            <w:pPr>
              <w:spacing w:before="0" w:after="0" w:line="252" w:lineRule="auto"/>
            </w:pPr>
            <w:r>
              <w:rPr>
                <w:rFonts w:ascii="Noto Sans CJK SC" w:hAnsi="Noto Sans CJK SC"/>
                <w:sz w:val="15"/>
              </w:rPr>
              <w:t>IG + controlled perturbation + optional Sobol sensitivity</w:t>
            </w:r>
          </w:p>
        </w:tc>
        <w:tc>
          <w:tcPr>
            <w:tcW w:type="dxa" w:w="2835"/>
            <w:vAlign w:val="center"/>
          </w:tcPr>
          <w:p>
            <w:pPr>
              <w:spacing w:before="0" w:after="0" w:line="252" w:lineRule="auto"/>
            </w:pPr>
            <w:r>
              <w:rPr>
                <w:rFonts w:ascii="Noto Sans CJK SC" w:hAnsi="Noto Sans CJK SC"/>
                <w:sz w:val="15"/>
              </w:rPr>
              <w:t>IG [R32]；Sobol [R33]</w:t>
            </w:r>
          </w:p>
        </w:tc>
        <w:tc>
          <w:tcPr>
            <w:tcW w:type="dxa" w:w="2154"/>
            <w:vAlign w:val="center"/>
          </w:tcPr>
          <w:p>
            <w:pPr>
              <w:spacing w:before="0" w:after="0" w:line="252" w:lineRule="auto"/>
            </w:pPr>
            <w:r>
              <w:rPr>
                <w:rFonts w:ascii="Noto Sans CJK SC" w:hAnsi="Noto Sans CJK SC"/>
                <w:sz w:val="15"/>
              </w:rPr>
              <w:t>只解释模型响应/敏感性，不写因果贡献</w:t>
            </w:r>
          </w:p>
        </w:tc>
      </w:tr>
    </w:tbl>
    <w:p>
      <w:pPr>
        <w:spacing w:after="0"/>
      </w:pPr>
    </w:p>
    <w:p>
      <w:pPr>
        <w:pStyle w:val="Heading1"/>
      </w:pPr>
      <w:r>
        <w:t>3. 总体技术路线与问题定义</w:t>
      </w:r>
    </w:p>
    <w:p>
      <w:pPr>
        <w:pStyle w:val="Heading2"/>
      </w:pPr>
      <w:r>
        <w:t>3.1 七层主链</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247"/>
            <w:shd w:fill="DCEAF3"/>
            <w:vAlign w:val="center"/>
          </w:tcPr>
          <w:p>
            <w:pPr>
              <w:jc w:val="center"/>
            </w:pPr>
            <w:r>
              <w:rPr>
                <w:b/>
                <w:color w:val="243746"/>
                <w:sz w:val="15"/>
              </w:rPr>
              <w:t>层级</w:t>
            </w:r>
          </w:p>
        </w:tc>
        <w:tc>
          <w:tcPr>
            <w:tcW w:type="dxa" w:w="2778"/>
            <w:shd w:fill="DCEAF3"/>
            <w:vAlign w:val="center"/>
          </w:tcPr>
          <w:p>
            <w:pPr>
              <w:jc w:val="center"/>
            </w:pPr>
            <w:r>
              <w:rPr>
                <w:b/>
                <w:color w:val="243746"/>
                <w:sz w:val="15"/>
              </w:rPr>
              <w:t>输入</w:t>
            </w:r>
          </w:p>
        </w:tc>
        <w:tc>
          <w:tcPr>
            <w:tcW w:type="dxa" w:w="3855"/>
            <w:shd w:fill="DCEAF3"/>
            <w:vAlign w:val="center"/>
          </w:tcPr>
          <w:p>
            <w:pPr>
              <w:jc w:val="center"/>
            </w:pPr>
            <w:r>
              <w:rPr>
                <w:b/>
                <w:color w:val="243746"/>
                <w:sz w:val="15"/>
              </w:rPr>
              <w:t>核心操作</w:t>
            </w:r>
          </w:p>
        </w:tc>
        <w:tc>
          <w:tcPr>
            <w:tcW w:type="dxa" w:w="2154"/>
            <w:shd w:fill="DCEAF3"/>
            <w:vAlign w:val="center"/>
          </w:tcPr>
          <w:p>
            <w:pPr>
              <w:jc w:val="center"/>
            </w:pPr>
            <w:r>
              <w:rPr>
                <w:b/>
                <w:color w:val="243746"/>
                <w:sz w:val="15"/>
              </w:rPr>
              <w:t>输出</w:t>
            </w:r>
          </w:p>
        </w:tc>
      </w:tr>
      <w:tr>
        <w:tc>
          <w:tcPr>
            <w:tcW w:type="dxa" w:w="1247"/>
            <w:vAlign w:val="center"/>
          </w:tcPr>
          <w:p>
            <w:pPr>
              <w:spacing w:before="0" w:after="0" w:line="252" w:lineRule="auto"/>
            </w:pPr>
            <w:r>
              <w:rPr>
                <w:rFonts w:ascii="Noto Sans CJK SC" w:hAnsi="Noto Sans CJK SC"/>
                <w:sz w:val="15"/>
              </w:rPr>
              <w:t>L0 数据完整性</w:t>
            </w:r>
          </w:p>
        </w:tc>
        <w:tc>
          <w:tcPr>
            <w:tcW w:type="dxa" w:w="2778"/>
            <w:vAlign w:val="center"/>
          </w:tcPr>
          <w:p>
            <w:pPr>
              <w:spacing w:before="0" w:after="0" w:line="252" w:lineRule="auto"/>
            </w:pPr>
            <w:r>
              <w:rPr>
                <w:rFonts w:ascii="Noto Sans CJK SC" w:hAnsi="Noto Sans CJK SC"/>
                <w:sz w:val="15"/>
              </w:rPr>
              <w:t>raw SCADA + coords + weather</w:t>
            </w:r>
          </w:p>
        </w:tc>
        <w:tc>
          <w:tcPr>
            <w:tcW w:type="dxa" w:w="3855"/>
            <w:vAlign w:val="center"/>
          </w:tcPr>
          <w:p>
            <w:pPr>
              <w:spacing w:before="0" w:after="0" w:line="252" w:lineRule="auto"/>
            </w:pPr>
            <w:r>
              <w:rPr>
                <w:rFonts w:ascii="Noto Sans CJK SC" w:hAnsi="Noto Sans CJK SC"/>
                <w:sz w:val="15"/>
              </w:rPr>
              <w:t>rigid grid；official mask/reason_code；train-only statistics</w:t>
            </w:r>
          </w:p>
        </w:tc>
        <w:tc>
          <w:tcPr>
            <w:tcW w:type="dxa" w:w="2154"/>
            <w:vAlign w:val="center"/>
          </w:tcPr>
          <w:p>
            <w:pPr>
              <w:spacing w:before="0" w:after="0" w:line="252" w:lineRule="auto"/>
            </w:pPr>
            <w:r>
              <w:rPr>
                <w:rFonts w:ascii="Noto Sans CJK SC" w:hAnsi="Noto Sans CJK SC"/>
                <w:sz w:val="15"/>
              </w:rPr>
              <w:t>clean tensor + availability metadata</w:t>
            </w:r>
          </w:p>
        </w:tc>
      </w:tr>
      <w:tr>
        <w:tc>
          <w:tcPr>
            <w:tcW w:type="dxa" w:w="1247"/>
            <w:vAlign w:val="center"/>
          </w:tcPr>
          <w:p>
            <w:pPr>
              <w:spacing w:before="0" w:after="0" w:line="252" w:lineRule="auto"/>
            </w:pPr>
            <w:r>
              <w:rPr>
                <w:rFonts w:ascii="Noto Sans CJK SC" w:hAnsi="Noto Sans CJK SC"/>
                <w:sz w:val="15"/>
              </w:rPr>
              <w:t>L1 数据质量建模</w:t>
            </w:r>
          </w:p>
        </w:tc>
        <w:tc>
          <w:tcPr>
            <w:tcW w:type="dxa" w:w="2778"/>
            <w:vAlign w:val="center"/>
          </w:tcPr>
          <w:p>
            <w:pPr>
              <w:spacing w:before="0" w:after="0" w:line="252" w:lineRule="auto"/>
            </w:pPr>
            <w:r>
              <w:rPr>
                <w:rFonts w:ascii="Noto Sans CJK SC" w:hAnsi="Noto Sans CJK SC"/>
                <w:sz w:val="15"/>
              </w:rPr>
              <w:t>X_obs / missing / abnormal</w:t>
            </w:r>
          </w:p>
        </w:tc>
        <w:tc>
          <w:tcPr>
            <w:tcW w:type="dxa" w:w="3855"/>
            <w:vAlign w:val="center"/>
          </w:tcPr>
          <w:p>
            <w:pPr>
              <w:spacing w:before="0" w:after="0" w:line="252" w:lineRule="auto"/>
            </w:pPr>
            <w:r>
              <w:rPr>
                <w:rFonts w:ascii="Noto Sans CJK SC" w:hAnsi="Noto Sans CJK SC"/>
                <w:sz w:val="15"/>
              </w:rPr>
              <w:t>X_fill + M + ΔT；future-mask loss</w:t>
            </w:r>
          </w:p>
        </w:tc>
        <w:tc>
          <w:tcPr>
            <w:tcW w:type="dxa" w:w="2154"/>
            <w:vAlign w:val="center"/>
          </w:tcPr>
          <w:p>
            <w:pPr>
              <w:spacing w:before="0" w:after="0" w:line="252" w:lineRule="auto"/>
            </w:pPr>
            <w:r>
              <w:rPr>
                <w:rFonts w:ascii="Noto Sans CJK SC" w:hAnsi="Noto Sans CJK SC"/>
                <w:sz w:val="15"/>
              </w:rPr>
              <w:t>mask-aware historical tensor</w:t>
            </w:r>
          </w:p>
        </w:tc>
      </w:tr>
      <w:tr>
        <w:tc>
          <w:tcPr>
            <w:tcW w:type="dxa" w:w="1247"/>
            <w:vAlign w:val="center"/>
          </w:tcPr>
          <w:p>
            <w:pPr>
              <w:spacing w:before="0" w:after="0" w:line="252" w:lineRule="auto"/>
            </w:pPr>
            <w:r>
              <w:rPr>
                <w:rFonts w:ascii="Noto Sans CJK SC" w:hAnsi="Noto Sans CJK SC"/>
                <w:sz w:val="15"/>
              </w:rPr>
              <w:t>L2 弱物理中心</w:t>
            </w:r>
          </w:p>
        </w:tc>
        <w:tc>
          <w:tcPr>
            <w:tcW w:type="dxa" w:w="2778"/>
            <w:vAlign w:val="center"/>
          </w:tcPr>
          <w:p>
            <w:pPr>
              <w:spacing w:before="0" w:after="0" w:line="252" w:lineRule="auto"/>
            </w:pPr>
            <w:r>
              <w:rPr>
                <w:rFonts w:ascii="Noto Sans CJK SC" w:hAnsi="Noto Sans CJK SC"/>
                <w:sz w:val="15"/>
              </w:rPr>
              <w:t>available wind/temperature/pressure/status</w:t>
            </w:r>
          </w:p>
        </w:tc>
        <w:tc>
          <w:tcPr>
            <w:tcW w:type="dxa" w:w="3855"/>
            <w:vAlign w:val="center"/>
          </w:tcPr>
          <w:p>
            <w:pPr>
              <w:spacing w:before="0" w:after="0" w:line="252" w:lineRule="auto"/>
            </w:pPr>
            <w:r>
              <w:rPr>
                <w:rFonts w:ascii="Noto Sans CJK SC" w:hAnsi="Noto Sans CJK SC"/>
                <w:sz w:val="15"/>
              </w:rPr>
              <w:t>ρ 与 v_eq；Train-only empirical power curve</w:t>
            </w:r>
          </w:p>
        </w:tc>
        <w:tc>
          <w:tcPr>
            <w:tcW w:type="dxa" w:w="2154"/>
            <w:vAlign w:val="center"/>
          </w:tcPr>
          <w:p>
            <w:pPr>
              <w:spacing w:before="0" w:after="0" w:line="252" w:lineRule="auto"/>
            </w:pPr>
            <w:r>
              <w:rPr>
                <w:rFonts w:ascii="Noto Sans CJK SC" w:hAnsi="Noto Sans CJK SC"/>
                <w:sz w:val="15"/>
              </w:rPr>
              <w:t>P_pc</w:t>
            </w:r>
          </w:p>
        </w:tc>
      </w:tr>
      <w:tr>
        <w:tc>
          <w:tcPr>
            <w:tcW w:type="dxa" w:w="1247"/>
            <w:vAlign w:val="center"/>
          </w:tcPr>
          <w:p>
            <w:pPr>
              <w:spacing w:before="0" w:after="0" w:line="252" w:lineRule="auto"/>
            </w:pPr>
            <w:r>
              <w:rPr>
                <w:rFonts w:ascii="Noto Sans CJK SC" w:hAnsi="Noto Sans CJK SC"/>
                <w:sz w:val="15"/>
              </w:rPr>
              <w:t>L3 时空残差</w:t>
            </w:r>
          </w:p>
        </w:tc>
        <w:tc>
          <w:tcPr>
            <w:tcW w:type="dxa" w:w="2778"/>
            <w:vAlign w:val="center"/>
          </w:tcPr>
          <w:p>
            <w:pPr>
              <w:spacing w:before="0" w:after="0" w:line="252" w:lineRule="auto"/>
            </w:pPr>
            <w:r>
              <w:rPr>
                <w:rFonts w:ascii="Noto Sans CJK SC" w:hAnsi="Noto Sans CJK SC"/>
                <w:sz w:val="15"/>
              </w:rPr>
              <w:t>X_fill/M/ΔT + A_geo/A_corr/A_dir/A_adp</w:t>
            </w:r>
          </w:p>
        </w:tc>
        <w:tc>
          <w:tcPr>
            <w:tcW w:type="dxa" w:w="3855"/>
            <w:vAlign w:val="center"/>
          </w:tcPr>
          <w:p>
            <w:pPr>
              <w:spacing w:before="0" w:after="0" w:line="252" w:lineRule="auto"/>
            </w:pPr>
            <w:r>
              <w:rPr>
                <w:rFonts w:ascii="Noto Sans CJK SC" w:hAnsi="Noto Sans CJK SC"/>
                <w:sz w:val="15"/>
              </w:rPr>
              <w:t>mask-aware IMFGCN/AGCRN-style residual encoder</w:t>
            </w:r>
          </w:p>
        </w:tc>
        <w:tc>
          <w:tcPr>
            <w:tcW w:type="dxa" w:w="2154"/>
            <w:vAlign w:val="center"/>
          </w:tcPr>
          <w:p>
            <w:pPr>
              <w:spacing w:before="0" w:after="0" w:line="252" w:lineRule="auto"/>
            </w:pPr>
            <w:r>
              <w:rPr>
                <w:rFonts w:ascii="Noto Sans CJK SC" w:hAnsi="Noto Sans CJK SC"/>
                <w:sz w:val="15"/>
              </w:rPr>
              <w:t>R_hat, H_t, Y_det</w:t>
            </w:r>
          </w:p>
        </w:tc>
      </w:tr>
      <w:tr>
        <w:tc>
          <w:tcPr>
            <w:tcW w:type="dxa" w:w="1247"/>
            <w:vAlign w:val="center"/>
          </w:tcPr>
          <w:p>
            <w:pPr>
              <w:spacing w:before="0" w:after="0" w:line="252" w:lineRule="auto"/>
            </w:pPr>
            <w:r>
              <w:rPr>
                <w:rFonts w:ascii="Noto Sans CJK SC" w:hAnsi="Noto Sans CJK SC"/>
                <w:sz w:val="15"/>
              </w:rPr>
              <w:t>L4 联合概率</w:t>
            </w:r>
          </w:p>
        </w:tc>
        <w:tc>
          <w:tcPr>
            <w:tcW w:type="dxa" w:w="2778"/>
            <w:vAlign w:val="center"/>
          </w:tcPr>
          <w:p>
            <w:pPr>
              <w:spacing w:before="0" w:after="0" w:line="252" w:lineRule="auto"/>
            </w:pPr>
            <w:r>
              <w:rPr>
                <w:rFonts w:ascii="Noto Sans CJK SC" w:hAnsi="Noto Sans CJK SC"/>
                <w:sz w:val="15"/>
              </w:rPr>
              <w:t>E=Y−Y_det；H_t；运行时可用条件</w:t>
            </w:r>
          </w:p>
        </w:tc>
        <w:tc>
          <w:tcPr>
            <w:tcW w:type="dxa" w:w="3855"/>
            <w:vAlign w:val="center"/>
          </w:tcPr>
          <w:p>
            <w:pPr>
              <w:spacing w:before="0" w:after="0" w:line="252" w:lineRule="auto"/>
            </w:pPr>
            <w:r>
              <w:rPr>
                <w:rFonts w:ascii="Noto Sans CJK SC" w:hAnsi="Noto Sans CJK SC"/>
                <w:sz w:val="15"/>
              </w:rPr>
              <w:t>Direct Conditional Flow Matching on E</w:t>
            </w:r>
          </w:p>
        </w:tc>
        <w:tc>
          <w:tcPr>
            <w:tcW w:type="dxa" w:w="2154"/>
            <w:vAlign w:val="center"/>
          </w:tcPr>
          <w:p>
            <w:pPr>
              <w:spacing w:before="0" w:after="0" w:line="252" w:lineRule="auto"/>
            </w:pPr>
            <w:r>
              <w:rPr>
                <w:rFonts w:ascii="Noto Sans CJK SC" w:hAnsi="Noto Sans CJK SC"/>
                <w:sz w:val="15"/>
              </w:rPr>
              <w:t>M 条 E_scen / Y_scen</w:t>
            </w:r>
          </w:p>
        </w:tc>
      </w:tr>
      <w:tr>
        <w:tc>
          <w:tcPr>
            <w:tcW w:type="dxa" w:w="1247"/>
            <w:vAlign w:val="center"/>
          </w:tcPr>
          <w:p>
            <w:pPr>
              <w:spacing w:before="0" w:after="0" w:line="252" w:lineRule="auto"/>
            </w:pPr>
            <w:r>
              <w:rPr>
                <w:rFonts w:ascii="Noto Sans CJK SC" w:hAnsi="Noto Sans CJK SC"/>
                <w:sz w:val="15"/>
              </w:rPr>
              <w:t>L5 概率校准</w:t>
            </w:r>
          </w:p>
        </w:tc>
        <w:tc>
          <w:tcPr>
            <w:tcW w:type="dxa" w:w="2778"/>
            <w:vAlign w:val="center"/>
          </w:tcPr>
          <w:p>
            <w:pPr>
              <w:spacing w:before="0" w:after="0" w:line="252" w:lineRule="auto"/>
            </w:pPr>
            <w:r>
              <w:rPr>
                <w:rFonts w:ascii="Noto Sans CJK SC" w:hAnsi="Noto Sans CJK SC"/>
                <w:sz w:val="15"/>
              </w:rPr>
              <w:t>scenario-derived intervals + Calib</w:t>
            </w:r>
          </w:p>
        </w:tc>
        <w:tc>
          <w:tcPr>
            <w:tcW w:type="dxa" w:w="3855"/>
            <w:vAlign w:val="center"/>
          </w:tcPr>
          <w:p>
            <w:pPr>
              <w:spacing w:before="0" w:after="0" w:line="252" w:lineRule="auto"/>
            </w:pPr>
            <w:r>
              <w:rPr>
                <w:rFonts w:ascii="Noto Sans CJK SC" w:hAnsi="Noto Sans CJK SC"/>
                <w:sz w:val="15"/>
              </w:rPr>
              <w:t>per-horizon split/CQR；可选 ACI/context/fallback</w:t>
            </w:r>
          </w:p>
        </w:tc>
        <w:tc>
          <w:tcPr>
            <w:tcW w:type="dxa" w:w="2154"/>
            <w:vAlign w:val="center"/>
          </w:tcPr>
          <w:p>
            <w:pPr>
              <w:spacing w:before="0" w:after="0" w:line="252" w:lineRule="auto"/>
            </w:pPr>
            <w:r>
              <w:rPr>
                <w:rFonts w:ascii="Noto Sans CJK SC" w:hAnsi="Noto Sans CJK SC"/>
                <w:sz w:val="15"/>
              </w:rPr>
              <w:t>conformalized intervals + coverage diagnostics</w:t>
            </w:r>
          </w:p>
        </w:tc>
      </w:tr>
      <w:tr>
        <w:tc>
          <w:tcPr>
            <w:tcW w:type="dxa" w:w="1247"/>
            <w:vAlign w:val="center"/>
          </w:tcPr>
          <w:p>
            <w:pPr>
              <w:spacing w:before="0" w:after="0" w:line="252" w:lineRule="auto"/>
            </w:pPr>
            <w:r>
              <w:rPr>
                <w:rFonts w:ascii="Noto Sans CJK SC" w:hAnsi="Noto Sans CJK SC"/>
                <w:sz w:val="15"/>
              </w:rPr>
              <w:t>L6 风险/解释</w:t>
            </w:r>
          </w:p>
        </w:tc>
        <w:tc>
          <w:tcPr>
            <w:tcW w:type="dxa" w:w="2778"/>
            <w:vAlign w:val="center"/>
          </w:tcPr>
          <w:p>
            <w:pPr>
              <w:spacing w:before="0" w:after="0" w:line="252" w:lineRule="auto"/>
            </w:pPr>
            <w:r>
              <w:rPr>
                <w:rFonts w:ascii="Noto Sans CJK SC" w:hAnsi="Noto Sans CJK SC"/>
                <w:sz w:val="15"/>
              </w:rPr>
              <w:t>farm scenarios + diagnostics</w:t>
            </w:r>
          </w:p>
        </w:tc>
        <w:tc>
          <w:tcPr>
            <w:tcW w:type="dxa" w:w="3855"/>
            <w:vAlign w:val="center"/>
          </w:tcPr>
          <w:p>
            <w:pPr>
              <w:spacing w:before="0" w:after="0" w:line="252" w:lineRule="auto"/>
            </w:pPr>
            <w:r>
              <w:rPr>
                <w:rFonts w:ascii="Noto Sans CJK SC" w:hAnsi="Noto Sans CJK SC"/>
                <w:sz w:val="15"/>
              </w:rPr>
              <w:t>p_dev/p_ramp/CVaR/OOD/data quality；IG/controlled sensitivity</w:t>
            </w:r>
          </w:p>
        </w:tc>
        <w:tc>
          <w:tcPr>
            <w:tcW w:type="dxa" w:w="2154"/>
            <w:vAlign w:val="center"/>
          </w:tcPr>
          <w:p>
            <w:pPr>
              <w:spacing w:before="0" w:after="0" w:line="252" w:lineRule="auto"/>
            </w:pPr>
            <w:r>
              <w:rPr>
                <w:rFonts w:ascii="Noto Sans CJK SC" w:hAnsi="Noto Sans CJK SC"/>
                <w:sz w:val="15"/>
              </w:rPr>
              <w:t>continuous wind-side risk proxy + explanation</w:t>
            </w:r>
          </w:p>
        </w:tc>
      </w:tr>
    </w:tbl>
    <w:p>
      <w:pPr>
        <w:spacing w:after="0"/>
      </w:pPr>
    </w:p>
    <w:p>
      <w:pPr>
        <w:pStyle w:val="FormulaBlock"/>
      </w:pPr>
      <w:r>
        <w:rPr>
          <w:rFonts w:ascii="DejaVu Sans Mono" w:hAnsi="DejaVu Sans Mono"/>
          <w:color w:val="233642"/>
          <w:sz w:val="18"/>
        </w:rPr>
        <w:t>X_fill,M,ΔT → P_pc → R_hat → Y_det → E=Y−Y_det → Direct CFM → Y_scen → Conformal intervals → p_ramp/CVaR/OOD/data-quality</w:t>
      </w:r>
    </w:p>
    <w:p>
      <w:pPr>
        <w:pStyle w:val="Heading2"/>
      </w:pPr>
      <w:r>
        <w:t>3.2 核心符号与张量</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154"/>
            <w:shd w:fill="DCEAF3"/>
            <w:vAlign w:val="center"/>
          </w:tcPr>
          <w:p>
            <w:pPr>
              <w:jc w:val="center"/>
            </w:pPr>
            <w:r>
              <w:rPr>
                <w:b/>
                <w:color w:val="243746"/>
                <w:sz w:val="15"/>
              </w:rPr>
              <w:t>名称</w:t>
            </w:r>
          </w:p>
        </w:tc>
        <w:tc>
          <w:tcPr>
            <w:tcW w:type="dxa" w:w="2041"/>
            <w:shd w:fill="DCEAF3"/>
            <w:vAlign w:val="center"/>
          </w:tcPr>
          <w:p>
            <w:pPr>
              <w:jc w:val="center"/>
            </w:pPr>
            <w:r>
              <w:rPr>
                <w:b/>
                <w:color w:val="243746"/>
                <w:sz w:val="15"/>
              </w:rPr>
              <w:t>推荐形状</w:t>
            </w:r>
          </w:p>
        </w:tc>
        <w:tc>
          <w:tcPr>
            <w:tcW w:type="dxa" w:w="3969"/>
            <w:shd w:fill="DCEAF3"/>
            <w:vAlign w:val="center"/>
          </w:tcPr>
          <w:p>
            <w:pPr>
              <w:jc w:val="center"/>
            </w:pPr>
            <w:r>
              <w:rPr>
                <w:b/>
                <w:color w:val="243746"/>
                <w:sz w:val="15"/>
              </w:rPr>
              <w:t>含义</w:t>
            </w:r>
          </w:p>
        </w:tc>
        <w:tc>
          <w:tcPr>
            <w:tcW w:type="dxa" w:w="1928"/>
            <w:shd w:fill="DCEAF3"/>
            <w:vAlign w:val="center"/>
          </w:tcPr>
          <w:p>
            <w:pPr>
              <w:jc w:val="center"/>
            </w:pPr>
            <w:r>
              <w:rPr>
                <w:b/>
                <w:color w:val="243746"/>
                <w:sz w:val="15"/>
              </w:rPr>
              <w:t>运行时可用性</w:t>
            </w:r>
          </w:p>
        </w:tc>
      </w:tr>
      <w:tr>
        <w:tc>
          <w:tcPr>
            <w:tcW w:type="dxa" w:w="2154"/>
            <w:vAlign w:val="center"/>
          </w:tcPr>
          <w:p>
            <w:pPr>
              <w:spacing w:before="0" w:after="0" w:line="252" w:lineRule="auto"/>
            </w:pPr>
            <w:r>
              <w:rPr>
                <w:rFonts w:ascii="Noto Sans CJK SC" w:hAnsi="Noto Sans CJK SC"/>
                <w:sz w:val="15"/>
              </w:rPr>
              <w:t>X_fill</w:t>
            </w:r>
          </w:p>
        </w:tc>
        <w:tc>
          <w:tcPr>
            <w:tcW w:type="dxa" w:w="2041"/>
            <w:vAlign w:val="center"/>
          </w:tcPr>
          <w:p>
            <w:pPr>
              <w:spacing w:before="0" w:after="0" w:line="252" w:lineRule="auto"/>
            </w:pPr>
            <w:r>
              <w:rPr>
                <w:rFonts w:ascii="Noto Sans CJK SC" w:hAnsi="Noto Sans CJK SC"/>
                <w:sz w:val="15"/>
              </w:rPr>
              <w:t>[B,N,L,Dx]</w:t>
            </w:r>
          </w:p>
        </w:tc>
        <w:tc>
          <w:tcPr>
            <w:tcW w:type="dxa" w:w="3969"/>
            <w:vAlign w:val="center"/>
          </w:tcPr>
          <w:p>
            <w:pPr>
              <w:spacing w:before="0" w:after="0" w:line="252" w:lineRule="auto"/>
            </w:pPr>
            <w:r>
              <w:rPr>
                <w:rFonts w:ascii="Noto Sans CJK SC" w:hAnsi="Noto Sans CJK SC"/>
                <w:sz w:val="15"/>
              </w:rPr>
              <w:t>历史 SCADA 数值计算载体</w:t>
            </w:r>
          </w:p>
        </w:tc>
        <w:tc>
          <w:tcPr>
            <w:tcW w:type="dxa" w:w="1928"/>
            <w:vAlign w:val="center"/>
          </w:tcPr>
          <w:p>
            <w:pPr>
              <w:spacing w:before="0" w:after="0" w:line="252" w:lineRule="auto"/>
            </w:pPr>
            <w:r>
              <w:rPr>
                <w:rFonts w:ascii="Noto Sans CJK SC" w:hAnsi="Noto Sans CJK SC"/>
                <w:sz w:val="15"/>
              </w:rPr>
              <w:t>≤t</w:t>
            </w:r>
          </w:p>
        </w:tc>
      </w:tr>
      <w:tr>
        <w:tc>
          <w:tcPr>
            <w:tcW w:type="dxa" w:w="2154"/>
            <w:vAlign w:val="center"/>
          </w:tcPr>
          <w:p>
            <w:pPr>
              <w:spacing w:before="0" w:after="0" w:line="252" w:lineRule="auto"/>
            </w:pPr>
            <w:r>
              <w:rPr>
                <w:rFonts w:ascii="Noto Sans CJK SC" w:hAnsi="Noto Sans CJK SC"/>
                <w:sz w:val="15"/>
              </w:rPr>
              <w:t>M</w:t>
            </w:r>
          </w:p>
        </w:tc>
        <w:tc>
          <w:tcPr>
            <w:tcW w:type="dxa" w:w="2041"/>
            <w:vAlign w:val="center"/>
          </w:tcPr>
          <w:p>
            <w:pPr>
              <w:spacing w:before="0" w:after="0" w:line="252" w:lineRule="auto"/>
            </w:pPr>
            <w:r>
              <w:rPr>
                <w:rFonts w:ascii="Noto Sans CJK SC" w:hAnsi="Noto Sans CJK SC"/>
                <w:sz w:val="15"/>
              </w:rPr>
              <w:t>[B,N,L,Dx]</w:t>
            </w:r>
          </w:p>
        </w:tc>
        <w:tc>
          <w:tcPr>
            <w:tcW w:type="dxa" w:w="3969"/>
            <w:vAlign w:val="center"/>
          </w:tcPr>
          <w:p>
            <w:pPr>
              <w:spacing w:before="0" w:after="0" w:line="252" w:lineRule="auto"/>
            </w:pPr>
            <w:r>
              <w:rPr>
                <w:rFonts w:ascii="Noto Sans CJK SC" w:hAnsi="Noto Sans CJK SC"/>
                <w:sz w:val="15"/>
              </w:rPr>
              <w:t>1=有效观测；0=missing/unknown/abnormal</w:t>
            </w:r>
          </w:p>
        </w:tc>
        <w:tc>
          <w:tcPr>
            <w:tcW w:type="dxa" w:w="1928"/>
            <w:vAlign w:val="center"/>
          </w:tcPr>
          <w:p>
            <w:pPr>
              <w:spacing w:before="0" w:after="0" w:line="252" w:lineRule="auto"/>
            </w:pPr>
            <w:r>
              <w:rPr>
                <w:rFonts w:ascii="Noto Sans CJK SC" w:hAnsi="Noto Sans CJK SC"/>
                <w:sz w:val="15"/>
              </w:rPr>
              <w:t>≤t</w:t>
            </w:r>
          </w:p>
        </w:tc>
      </w:tr>
      <w:tr>
        <w:tc>
          <w:tcPr>
            <w:tcW w:type="dxa" w:w="2154"/>
            <w:vAlign w:val="center"/>
          </w:tcPr>
          <w:p>
            <w:pPr>
              <w:spacing w:before="0" w:after="0" w:line="252" w:lineRule="auto"/>
            </w:pPr>
            <w:r>
              <w:rPr>
                <w:rFonts w:ascii="Noto Sans CJK SC" w:hAnsi="Noto Sans CJK SC"/>
                <w:sz w:val="15"/>
              </w:rPr>
              <w:t>ΔT</w:t>
            </w:r>
          </w:p>
        </w:tc>
        <w:tc>
          <w:tcPr>
            <w:tcW w:type="dxa" w:w="2041"/>
            <w:vAlign w:val="center"/>
          </w:tcPr>
          <w:p>
            <w:pPr>
              <w:spacing w:before="0" w:after="0" w:line="252" w:lineRule="auto"/>
            </w:pPr>
            <w:r>
              <w:rPr>
                <w:rFonts w:ascii="Noto Sans CJK SC" w:hAnsi="Noto Sans CJK SC"/>
                <w:sz w:val="15"/>
              </w:rPr>
              <w:t>[B,N,L,Dx]</w:t>
            </w:r>
          </w:p>
        </w:tc>
        <w:tc>
          <w:tcPr>
            <w:tcW w:type="dxa" w:w="3969"/>
            <w:vAlign w:val="center"/>
          </w:tcPr>
          <w:p>
            <w:pPr>
              <w:spacing w:before="0" w:after="0" w:line="252" w:lineRule="auto"/>
            </w:pPr>
            <w:r>
              <w:rPr>
                <w:rFonts w:ascii="Noto Sans CJK SC" w:hAnsi="Noto Sans CJK SC"/>
                <w:sz w:val="15"/>
              </w:rPr>
              <w:t>距该变量上次有效观测的步数/分钟</w:t>
            </w:r>
          </w:p>
        </w:tc>
        <w:tc>
          <w:tcPr>
            <w:tcW w:type="dxa" w:w="1928"/>
            <w:vAlign w:val="center"/>
          </w:tcPr>
          <w:p>
            <w:pPr>
              <w:spacing w:before="0" w:after="0" w:line="252" w:lineRule="auto"/>
            </w:pPr>
            <w:r>
              <w:rPr>
                <w:rFonts w:ascii="Noto Sans CJK SC" w:hAnsi="Noto Sans CJK SC"/>
                <w:sz w:val="15"/>
              </w:rPr>
              <w:t>≤t</w:t>
            </w:r>
          </w:p>
        </w:tc>
      </w:tr>
      <w:tr>
        <w:tc>
          <w:tcPr>
            <w:tcW w:type="dxa" w:w="2154"/>
            <w:vAlign w:val="center"/>
          </w:tcPr>
          <w:p>
            <w:pPr>
              <w:spacing w:before="0" w:after="0" w:line="252" w:lineRule="auto"/>
            </w:pPr>
            <w:r>
              <w:rPr>
                <w:rFonts w:ascii="Noto Sans CJK SC" w:hAnsi="Noto Sans CJK SC"/>
                <w:sz w:val="15"/>
              </w:rPr>
              <w:t>W_hist</w:t>
            </w:r>
          </w:p>
        </w:tc>
        <w:tc>
          <w:tcPr>
            <w:tcW w:type="dxa" w:w="2041"/>
            <w:vAlign w:val="center"/>
          </w:tcPr>
          <w:p>
            <w:pPr>
              <w:spacing w:before="0" w:after="0" w:line="252" w:lineRule="auto"/>
            </w:pPr>
            <w:r>
              <w:rPr>
                <w:rFonts w:ascii="Noto Sans CJK SC" w:hAnsi="Noto Sans CJK SC"/>
                <w:sz w:val="15"/>
              </w:rPr>
              <w:t>[B,(N),L,Dw]</w:t>
            </w:r>
          </w:p>
        </w:tc>
        <w:tc>
          <w:tcPr>
            <w:tcW w:type="dxa" w:w="3969"/>
            <w:vAlign w:val="center"/>
          </w:tcPr>
          <w:p>
            <w:pPr>
              <w:spacing w:before="0" w:after="0" w:line="252" w:lineRule="auto"/>
            </w:pPr>
            <w:r>
              <w:rPr>
                <w:rFonts w:ascii="Noto Sans CJK SC" w:hAnsi="Noto Sans CJK SC"/>
                <w:sz w:val="15"/>
              </w:rPr>
              <w:t>历史天气/ERA5/站点气象</w:t>
            </w:r>
          </w:p>
        </w:tc>
        <w:tc>
          <w:tcPr>
            <w:tcW w:type="dxa" w:w="1928"/>
            <w:vAlign w:val="center"/>
          </w:tcPr>
          <w:p>
            <w:pPr>
              <w:spacing w:before="0" w:after="0" w:line="252" w:lineRule="auto"/>
            </w:pPr>
            <w:r>
              <w:rPr>
                <w:rFonts w:ascii="Noto Sans CJK SC" w:hAnsi="Noto Sans CJK SC"/>
                <w:sz w:val="15"/>
              </w:rPr>
              <w:t>≤t</w:t>
            </w:r>
          </w:p>
        </w:tc>
      </w:tr>
      <w:tr>
        <w:tc>
          <w:tcPr>
            <w:tcW w:type="dxa" w:w="2154"/>
            <w:vAlign w:val="center"/>
          </w:tcPr>
          <w:p>
            <w:pPr>
              <w:spacing w:before="0" w:after="0" w:line="252" w:lineRule="auto"/>
            </w:pPr>
            <w:r>
              <w:rPr>
                <w:rFonts w:ascii="Noto Sans CJK SC" w:hAnsi="Noto Sans CJK SC"/>
                <w:sz w:val="15"/>
              </w:rPr>
              <w:t>W_future_oracle</w:t>
            </w:r>
          </w:p>
        </w:tc>
        <w:tc>
          <w:tcPr>
            <w:tcW w:type="dxa" w:w="2041"/>
            <w:vAlign w:val="center"/>
          </w:tcPr>
          <w:p>
            <w:pPr>
              <w:spacing w:before="0" w:after="0" w:line="252" w:lineRule="auto"/>
            </w:pPr>
            <w:r>
              <w:rPr>
                <w:rFonts w:ascii="Noto Sans CJK SC" w:hAnsi="Noto Sans CJK SC"/>
                <w:sz w:val="15"/>
              </w:rPr>
              <w:t>[B,(N),H,Dw]</w:t>
            </w:r>
          </w:p>
        </w:tc>
        <w:tc>
          <w:tcPr>
            <w:tcW w:type="dxa" w:w="3969"/>
            <w:vAlign w:val="center"/>
          </w:tcPr>
          <w:p>
            <w:pPr>
              <w:spacing w:before="0" w:after="0" w:line="252" w:lineRule="auto"/>
            </w:pPr>
            <w:r>
              <w:rPr>
                <w:rFonts w:ascii="Noto Sans CJK SC" w:hAnsi="Noto Sans CJK SC"/>
                <w:sz w:val="15"/>
              </w:rPr>
              <w:t>未来 ERA5/reanalysis，仅离线 oracle 上界</w:t>
            </w:r>
          </w:p>
        </w:tc>
        <w:tc>
          <w:tcPr>
            <w:tcW w:type="dxa" w:w="1928"/>
            <w:vAlign w:val="center"/>
          </w:tcPr>
          <w:p>
            <w:pPr>
              <w:spacing w:before="0" w:after="0" w:line="252" w:lineRule="auto"/>
            </w:pPr>
            <w:r>
              <w:rPr>
                <w:rFonts w:ascii="Noto Sans CJK SC" w:hAnsi="Noto Sans CJK SC"/>
                <w:sz w:val="15"/>
              </w:rPr>
              <w:t>&gt;t，不可用于部署主协议</w:t>
            </w:r>
          </w:p>
        </w:tc>
      </w:tr>
      <w:tr>
        <w:tc>
          <w:tcPr>
            <w:tcW w:type="dxa" w:w="2154"/>
            <w:vAlign w:val="center"/>
          </w:tcPr>
          <w:p>
            <w:pPr>
              <w:spacing w:before="0" w:after="0" w:line="252" w:lineRule="auto"/>
            </w:pPr>
            <w:r>
              <w:rPr>
                <w:rFonts w:ascii="Noto Sans CJK SC" w:hAnsi="Noto Sans CJK SC"/>
                <w:sz w:val="15"/>
              </w:rPr>
              <w:t>W_future_forecast</w:t>
            </w:r>
          </w:p>
        </w:tc>
        <w:tc>
          <w:tcPr>
            <w:tcW w:type="dxa" w:w="2041"/>
            <w:vAlign w:val="center"/>
          </w:tcPr>
          <w:p>
            <w:pPr>
              <w:spacing w:before="0" w:after="0" w:line="252" w:lineRule="auto"/>
            </w:pPr>
            <w:r>
              <w:rPr>
                <w:rFonts w:ascii="Noto Sans CJK SC" w:hAnsi="Noto Sans CJK SC"/>
                <w:sz w:val="15"/>
              </w:rPr>
              <w:t>[B,(N),H,Dw,(K_ens)]</w:t>
            </w:r>
          </w:p>
        </w:tc>
        <w:tc>
          <w:tcPr>
            <w:tcW w:type="dxa" w:w="3969"/>
            <w:vAlign w:val="center"/>
          </w:tcPr>
          <w:p>
            <w:pPr>
              <w:spacing w:before="0" w:after="0" w:line="252" w:lineRule="auto"/>
            </w:pPr>
            <w:r>
              <w:rPr>
                <w:rFonts w:ascii="Noto Sans CJK SC" w:hAnsi="Noto Sans CJK SC"/>
                <w:sz w:val="15"/>
              </w:rPr>
              <w:t>按 issue time 发布的真实 forecast/ensemble</w:t>
            </w:r>
          </w:p>
        </w:tc>
        <w:tc>
          <w:tcPr>
            <w:tcW w:type="dxa" w:w="1928"/>
            <w:vAlign w:val="center"/>
          </w:tcPr>
          <w:p>
            <w:pPr>
              <w:spacing w:before="0" w:after="0" w:line="252" w:lineRule="auto"/>
            </w:pPr>
            <w:r>
              <w:rPr>
                <w:rFonts w:ascii="Noto Sans CJK SC" w:hAnsi="Noto Sans CJK SC"/>
                <w:sz w:val="15"/>
              </w:rPr>
              <w:t>只有 forecast archive 时可在线使用</w:t>
            </w:r>
          </w:p>
        </w:tc>
      </w:tr>
      <w:tr>
        <w:tc>
          <w:tcPr>
            <w:tcW w:type="dxa" w:w="2154"/>
            <w:vAlign w:val="center"/>
          </w:tcPr>
          <w:p>
            <w:pPr>
              <w:spacing w:before="0" w:after="0" w:line="252" w:lineRule="auto"/>
            </w:pPr>
            <w:r>
              <w:rPr>
                <w:rFonts w:ascii="Noto Sans CJK SC" w:hAnsi="Noto Sans CJK SC"/>
                <w:sz w:val="15"/>
              </w:rPr>
              <w:t>A_geo/A_corr</w:t>
            </w:r>
          </w:p>
        </w:tc>
        <w:tc>
          <w:tcPr>
            <w:tcW w:type="dxa" w:w="2041"/>
            <w:vAlign w:val="center"/>
          </w:tcPr>
          <w:p>
            <w:pPr>
              <w:spacing w:before="0" w:after="0" w:line="252" w:lineRule="auto"/>
            </w:pPr>
            <w:r>
              <w:rPr>
                <w:rFonts w:ascii="Noto Sans CJK SC" w:hAnsi="Noto Sans CJK SC"/>
                <w:sz w:val="15"/>
              </w:rPr>
              <w:t>[N,N]</w:t>
            </w:r>
          </w:p>
        </w:tc>
        <w:tc>
          <w:tcPr>
            <w:tcW w:type="dxa" w:w="3969"/>
            <w:vAlign w:val="center"/>
          </w:tcPr>
          <w:p>
            <w:pPr>
              <w:spacing w:before="0" w:after="0" w:line="252" w:lineRule="auto"/>
            </w:pPr>
            <w:r>
              <w:rPr>
                <w:rFonts w:ascii="Noto Sans CJK SC" w:hAnsi="Noto Sans CJK SC"/>
                <w:sz w:val="15"/>
              </w:rPr>
              <w:t>固定地理 / Train-only 统计图</w:t>
            </w:r>
          </w:p>
        </w:tc>
        <w:tc>
          <w:tcPr>
            <w:tcW w:type="dxa" w:w="1928"/>
            <w:vAlign w:val="center"/>
          </w:tcPr>
          <w:p>
            <w:pPr>
              <w:spacing w:before="0" w:after="0" w:line="252" w:lineRule="auto"/>
            </w:pPr>
            <w:r>
              <w:rPr>
                <w:rFonts w:ascii="Noto Sans CJK SC" w:hAnsi="Noto Sans CJK SC"/>
                <w:sz w:val="15"/>
              </w:rPr>
              <w:t>静态/Train-only</w:t>
            </w:r>
          </w:p>
        </w:tc>
      </w:tr>
      <w:tr>
        <w:tc>
          <w:tcPr>
            <w:tcW w:type="dxa" w:w="2154"/>
            <w:vAlign w:val="center"/>
          </w:tcPr>
          <w:p>
            <w:pPr>
              <w:spacing w:before="0" w:after="0" w:line="252" w:lineRule="auto"/>
            </w:pPr>
            <w:r>
              <w:rPr>
                <w:rFonts w:ascii="Noto Sans CJK SC" w:hAnsi="Noto Sans CJK SC"/>
                <w:sz w:val="15"/>
              </w:rPr>
              <w:t>A_dir</w:t>
            </w:r>
          </w:p>
        </w:tc>
        <w:tc>
          <w:tcPr>
            <w:tcW w:type="dxa" w:w="2041"/>
            <w:vAlign w:val="center"/>
          </w:tcPr>
          <w:p>
            <w:pPr>
              <w:spacing w:before="0" w:after="0" w:line="252" w:lineRule="auto"/>
            </w:pPr>
            <w:r>
              <w:rPr>
                <w:rFonts w:ascii="Noto Sans CJK SC" w:hAnsi="Noto Sans CJK SC"/>
                <w:sz w:val="15"/>
              </w:rPr>
              <w:t>[B,N,N]</w:t>
            </w:r>
          </w:p>
        </w:tc>
        <w:tc>
          <w:tcPr>
            <w:tcW w:type="dxa" w:w="3969"/>
            <w:vAlign w:val="center"/>
          </w:tcPr>
          <w:p>
            <w:pPr>
              <w:spacing w:before="0" w:after="0" w:line="252" w:lineRule="auto"/>
            </w:pPr>
            <w:r>
              <w:rPr>
                <w:rFonts w:ascii="Noto Sans CJK SC" w:hAnsi="Noto Sans CJK SC"/>
                <w:sz w:val="15"/>
              </w:rPr>
              <w:t>由当前/近期风向构造的方向图</w:t>
            </w:r>
          </w:p>
        </w:tc>
        <w:tc>
          <w:tcPr>
            <w:tcW w:type="dxa" w:w="1928"/>
            <w:vAlign w:val="center"/>
          </w:tcPr>
          <w:p>
            <w:pPr>
              <w:spacing w:before="0" w:after="0" w:line="252" w:lineRule="auto"/>
            </w:pPr>
            <w:r>
              <w:rPr>
                <w:rFonts w:ascii="Noto Sans CJK SC" w:hAnsi="Noto Sans CJK SC"/>
                <w:sz w:val="15"/>
              </w:rPr>
              <w:t>≤t</w:t>
            </w:r>
          </w:p>
        </w:tc>
      </w:tr>
      <w:tr>
        <w:tc>
          <w:tcPr>
            <w:tcW w:type="dxa" w:w="2154"/>
            <w:vAlign w:val="center"/>
          </w:tcPr>
          <w:p>
            <w:pPr>
              <w:spacing w:before="0" w:after="0" w:line="252" w:lineRule="auto"/>
            </w:pPr>
            <w:r>
              <w:rPr>
                <w:rFonts w:ascii="Noto Sans CJK SC" w:hAnsi="Noto Sans CJK SC"/>
                <w:sz w:val="15"/>
              </w:rPr>
              <w:t>A_adp</w:t>
            </w:r>
          </w:p>
        </w:tc>
        <w:tc>
          <w:tcPr>
            <w:tcW w:type="dxa" w:w="2041"/>
            <w:vAlign w:val="center"/>
          </w:tcPr>
          <w:p>
            <w:pPr>
              <w:spacing w:before="0" w:after="0" w:line="252" w:lineRule="auto"/>
            </w:pPr>
            <w:r>
              <w:rPr>
                <w:rFonts w:ascii="Noto Sans CJK SC" w:hAnsi="Noto Sans CJK SC"/>
                <w:sz w:val="15"/>
              </w:rPr>
              <w:t>[N,N]</w:t>
            </w:r>
          </w:p>
        </w:tc>
        <w:tc>
          <w:tcPr>
            <w:tcW w:type="dxa" w:w="3969"/>
            <w:vAlign w:val="center"/>
          </w:tcPr>
          <w:p>
            <w:pPr>
              <w:spacing w:before="0" w:after="0" w:line="252" w:lineRule="auto"/>
            </w:pPr>
            <w:r>
              <w:rPr>
                <w:rFonts w:ascii="Noto Sans CJK SC" w:hAnsi="Noto Sans CJK SC"/>
                <w:sz w:val="15"/>
              </w:rPr>
              <w:t>模型端到端学习的隐式邻接</w:t>
            </w:r>
          </w:p>
        </w:tc>
        <w:tc>
          <w:tcPr>
            <w:tcW w:type="dxa" w:w="1928"/>
            <w:vAlign w:val="center"/>
          </w:tcPr>
          <w:p>
            <w:pPr>
              <w:spacing w:before="0" w:after="0" w:line="252" w:lineRule="auto"/>
            </w:pPr>
            <w:r>
              <w:rPr>
                <w:rFonts w:ascii="Noto Sans CJK SC" w:hAnsi="Noto Sans CJK SC"/>
                <w:sz w:val="15"/>
              </w:rPr>
              <w:t>模型内部</w:t>
            </w:r>
          </w:p>
        </w:tc>
      </w:tr>
      <w:tr>
        <w:tc>
          <w:tcPr>
            <w:tcW w:type="dxa" w:w="2154"/>
            <w:vAlign w:val="center"/>
          </w:tcPr>
          <w:p>
            <w:pPr>
              <w:spacing w:before="0" w:after="0" w:line="252" w:lineRule="auto"/>
            </w:pPr>
            <w:r>
              <w:rPr>
                <w:rFonts w:ascii="Noto Sans CJK SC" w:hAnsi="Noto Sans CJK SC"/>
                <w:sz w:val="15"/>
              </w:rPr>
              <w:t>H_t</w:t>
            </w:r>
          </w:p>
        </w:tc>
        <w:tc>
          <w:tcPr>
            <w:tcW w:type="dxa" w:w="2041"/>
            <w:vAlign w:val="center"/>
          </w:tcPr>
          <w:p>
            <w:pPr>
              <w:spacing w:before="0" w:after="0" w:line="252" w:lineRule="auto"/>
            </w:pPr>
            <w:r>
              <w:rPr>
                <w:rFonts w:ascii="Noto Sans CJK SC" w:hAnsi="Noto Sans CJK SC"/>
                <w:sz w:val="15"/>
              </w:rPr>
              <w:t>[B,N,d]</w:t>
            </w:r>
          </w:p>
        </w:tc>
        <w:tc>
          <w:tcPr>
            <w:tcW w:type="dxa" w:w="3969"/>
            <w:vAlign w:val="center"/>
          </w:tcPr>
          <w:p>
            <w:pPr>
              <w:spacing w:before="0" w:after="0" w:line="252" w:lineRule="auto"/>
            </w:pPr>
            <w:r>
              <w:rPr>
                <w:rFonts w:ascii="Noto Sans CJK SC" w:hAnsi="Noto Sans CJK SC"/>
                <w:sz w:val="15"/>
              </w:rPr>
              <w:t>deterministic encoder 表征</w:t>
            </w:r>
          </w:p>
        </w:tc>
        <w:tc>
          <w:tcPr>
            <w:tcW w:type="dxa" w:w="1928"/>
            <w:vAlign w:val="center"/>
          </w:tcPr>
          <w:p>
            <w:pPr>
              <w:spacing w:before="0" w:after="0" w:line="252" w:lineRule="auto"/>
            </w:pPr>
            <w:r>
              <w:rPr>
                <w:rFonts w:ascii="Noto Sans CJK SC" w:hAnsi="Noto Sans CJK SC"/>
                <w:sz w:val="15"/>
              </w:rPr>
              <w:t>模型内部</w:t>
            </w:r>
          </w:p>
        </w:tc>
      </w:tr>
      <w:tr>
        <w:tc>
          <w:tcPr>
            <w:tcW w:type="dxa" w:w="2154"/>
            <w:vAlign w:val="center"/>
          </w:tcPr>
          <w:p>
            <w:pPr>
              <w:spacing w:before="0" w:after="0" w:line="252" w:lineRule="auto"/>
            </w:pPr>
            <w:r>
              <w:rPr>
                <w:rFonts w:ascii="Noto Sans CJK SC" w:hAnsi="Noto Sans CJK SC"/>
                <w:sz w:val="15"/>
              </w:rPr>
              <w:t>Y_det</w:t>
            </w:r>
          </w:p>
        </w:tc>
        <w:tc>
          <w:tcPr>
            <w:tcW w:type="dxa" w:w="2041"/>
            <w:vAlign w:val="center"/>
          </w:tcPr>
          <w:p>
            <w:pPr>
              <w:spacing w:before="0" w:after="0" w:line="252" w:lineRule="auto"/>
            </w:pPr>
            <w:r>
              <w:rPr>
                <w:rFonts w:ascii="Noto Sans CJK SC" w:hAnsi="Noto Sans CJK SC"/>
                <w:sz w:val="15"/>
              </w:rPr>
              <w:t>[B,N,H]</w:t>
            </w:r>
          </w:p>
        </w:tc>
        <w:tc>
          <w:tcPr>
            <w:tcW w:type="dxa" w:w="3969"/>
            <w:vAlign w:val="center"/>
          </w:tcPr>
          <w:p>
            <w:pPr>
              <w:spacing w:before="0" w:after="0" w:line="252" w:lineRule="auto"/>
            </w:pPr>
            <w:r>
              <w:rPr>
                <w:rFonts w:ascii="Noto Sans CJK SC" w:hAnsi="Noto Sans CJK SC"/>
                <w:sz w:val="15"/>
              </w:rPr>
              <w:t>确定性中心预测</w:t>
            </w:r>
          </w:p>
        </w:tc>
        <w:tc>
          <w:tcPr>
            <w:tcW w:type="dxa" w:w="1928"/>
            <w:vAlign w:val="center"/>
          </w:tcPr>
          <w:p>
            <w:pPr>
              <w:spacing w:before="0" w:after="0" w:line="252" w:lineRule="auto"/>
            </w:pPr>
            <w:r>
              <w:rPr>
                <w:rFonts w:ascii="Noto Sans CJK SC" w:hAnsi="Noto Sans CJK SC"/>
                <w:sz w:val="15"/>
              </w:rPr>
              <w:t>模型输出</w:t>
            </w:r>
          </w:p>
        </w:tc>
      </w:tr>
      <w:tr>
        <w:tc>
          <w:tcPr>
            <w:tcW w:type="dxa" w:w="2154"/>
            <w:vAlign w:val="center"/>
          </w:tcPr>
          <w:p>
            <w:pPr>
              <w:spacing w:before="0" w:after="0" w:line="252" w:lineRule="auto"/>
            </w:pPr>
            <w:r>
              <w:rPr>
                <w:rFonts w:ascii="Noto Sans CJK SC" w:hAnsi="Noto Sans CJK SC"/>
                <w:sz w:val="15"/>
              </w:rPr>
              <w:t>E_true</w:t>
            </w:r>
          </w:p>
        </w:tc>
        <w:tc>
          <w:tcPr>
            <w:tcW w:type="dxa" w:w="2041"/>
            <w:vAlign w:val="center"/>
          </w:tcPr>
          <w:p>
            <w:pPr>
              <w:spacing w:before="0" w:after="0" w:line="252" w:lineRule="auto"/>
            </w:pPr>
            <w:r>
              <w:rPr>
                <w:rFonts w:ascii="Noto Sans CJK SC" w:hAnsi="Noto Sans CJK SC"/>
                <w:sz w:val="15"/>
              </w:rPr>
              <w:t>[B,N,H]</w:t>
            </w:r>
          </w:p>
        </w:tc>
        <w:tc>
          <w:tcPr>
            <w:tcW w:type="dxa" w:w="3969"/>
            <w:vAlign w:val="center"/>
          </w:tcPr>
          <w:p>
            <w:pPr>
              <w:spacing w:before="0" w:after="0" w:line="252" w:lineRule="auto"/>
            </w:pPr>
            <w:r>
              <w:rPr>
                <w:rFonts w:ascii="Noto Sans CJK SC" w:hAnsi="Noto Sans CJK SC"/>
                <w:sz w:val="15"/>
              </w:rPr>
              <w:t>训练时最终预测误差</w:t>
            </w:r>
          </w:p>
        </w:tc>
        <w:tc>
          <w:tcPr>
            <w:tcW w:type="dxa" w:w="1928"/>
            <w:vAlign w:val="center"/>
          </w:tcPr>
          <w:p>
            <w:pPr>
              <w:spacing w:before="0" w:after="0" w:line="252" w:lineRule="auto"/>
            </w:pPr>
            <w:r>
              <w:rPr>
                <w:rFonts w:ascii="Noto Sans CJK SC" w:hAnsi="Noto Sans CJK SC"/>
                <w:sz w:val="15"/>
              </w:rPr>
              <w:t>训练才可见</w:t>
            </w:r>
          </w:p>
        </w:tc>
      </w:tr>
      <w:tr>
        <w:tc>
          <w:tcPr>
            <w:tcW w:type="dxa" w:w="2154"/>
            <w:vAlign w:val="center"/>
          </w:tcPr>
          <w:p>
            <w:pPr>
              <w:spacing w:before="0" w:after="0" w:line="252" w:lineRule="auto"/>
            </w:pPr>
            <w:r>
              <w:rPr>
                <w:rFonts w:ascii="Noto Sans CJK SC" w:hAnsi="Noto Sans CJK SC"/>
                <w:sz w:val="15"/>
              </w:rPr>
              <w:t>E_scen/Y_scen</w:t>
            </w:r>
          </w:p>
        </w:tc>
        <w:tc>
          <w:tcPr>
            <w:tcW w:type="dxa" w:w="2041"/>
            <w:vAlign w:val="center"/>
          </w:tcPr>
          <w:p>
            <w:pPr>
              <w:spacing w:before="0" w:after="0" w:line="252" w:lineRule="auto"/>
            </w:pPr>
            <w:r>
              <w:rPr>
                <w:rFonts w:ascii="Noto Sans CJK SC" w:hAnsi="Noto Sans CJK SC"/>
                <w:sz w:val="15"/>
              </w:rPr>
              <w:t>[M,B,N,H]</w:t>
            </w:r>
          </w:p>
        </w:tc>
        <w:tc>
          <w:tcPr>
            <w:tcW w:type="dxa" w:w="3969"/>
            <w:vAlign w:val="center"/>
          </w:tcPr>
          <w:p>
            <w:pPr>
              <w:spacing w:before="0" w:after="0" w:line="252" w:lineRule="auto"/>
            </w:pPr>
            <w:r>
              <w:rPr>
                <w:rFonts w:ascii="Noto Sans CJK SC" w:hAnsi="Noto Sans CJK SC"/>
                <w:sz w:val="15"/>
              </w:rPr>
              <w:t>联合误差/功率场景</w:t>
            </w:r>
          </w:p>
        </w:tc>
        <w:tc>
          <w:tcPr>
            <w:tcW w:type="dxa" w:w="1928"/>
            <w:vAlign w:val="center"/>
          </w:tcPr>
          <w:p>
            <w:pPr>
              <w:spacing w:before="0" w:after="0" w:line="252" w:lineRule="auto"/>
            </w:pPr>
            <w:r>
              <w:rPr>
                <w:rFonts w:ascii="Noto Sans CJK SC" w:hAnsi="Noto Sans CJK SC"/>
                <w:sz w:val="15"/>
              </w:rPr>
              <w:t>推理输出</w:t>
            </w:r>
          </w:p>
        </w:tc>
      </w:tr>
      <w:tr>
        <w:tc>
          <w:tcPr>
            <w:tcW w:type="dxa" w:w="2154"/>
            <w:vAlign w:val="center"/>
          </w:tcPr>
          <w:p>
            <w:pPr>
              <w:spacing w:before="0" w:after="0" w:line="252" w:lineRule="auto"/>
            </w:pPr>
            <w:r>
              <w:rPr>
                <w:rFonts w:ascii="Noto Sans CJK SC" w:hAnsi="Noto Sans CJK SC"/>
                <w:sz w:val="15"/>
              </w:rPr>
              <w:t>P_farm_scen</w:t>
            </w:r>
          </w:p>
        </w:tc>
        <w:tc>
          <w:tcPr>
            <w:tcW w:type="dxa" w:w="2041"/>
            <w:vAlign w:val="center"/>
          </w:tcPr>
          <w:p>
            <w:pPr>
              <w:spacing w:before="0" w:after="0" w:line="252" w:lineRule="auto"/>
            </w:pPr>
            <w:r>
              <w:rPr>
                <w:rFonts w:ascii="Noto Sans CJK SC" w:hAnsi="Noto Sans CJK SC"/>
                <w:sz w:val="15"/>
              </w:rPr>
              <w:t>[M,B,H]</w:t>
            </w:r>
          </w:p>
        </w:tc>
        <w:tc>
          <w:tcPr>
            <w:tcW w:type="dxa" w:w="3969"/>
            <w:vAlign w:val="center"/>
          </w:tcPr>
          <w:p>
            <w:pPr>
              <w:spacing w:before="0" w:after="0" w:line="252" w:lineRule="auto"/>
            </w:pPr>
            <w:r>
              <w:rPr>
                <w:rFonts w:ascii="Noto Sans CJK SC" w:hAnsi="Noto Sans CJK SC"/>
                <w:sz w:val="15"/>
              </w:rPr>
              <w:t>对 N 台求和后的风场场景</w:t>
            </w:r>
          </w:p>
        </w:tc>
        <w:tc>
          <w:tcPr>
            <w:tcW w:type="dxa" w:w="1928"/>
            <w:vAlign w:val="center"/>
          </w:tcPr>
          <w:p>
            <w:pPr>
              <w:spacing w:before="0" w:after="0" w:line="252" w:lineRule="auto"/>
            </w:pPr>
            <w:r>
              <w:rPr>
                <w:rFonts w:ascii="Noto Sans CJK SC" w:hAnsi="Noto Sans CJK SC"/>
                <w:sz w:val="15"/>
              </w:rPr>
              <w:t>风险计算</w:t>
            </w:r>
          </w:p>
        </w:tc>
      </w:tr>
    </w:tbl>
    <w:p>
      <w:pPr>
        <w:spacing w:after="0"/>
      </w:pPr>
    </w:p>
    <w:tbl>
      <w:tblPr>
        <w:tblW w:type="auto" w:w="0"/>
        <w:jc w:val="center"/>
        <w:tblLook w:firstColumn="1" w:firstRow="1" w:lastColumn="0" w:lastRow="0" w:noHBand="0" w:noVBand="1" w:val="04A0"/>
      </w:tblPr>
      <w:tblGrid>
        <w:gridCol w:w="9978"/>
      </w:tblGrid>
      <w:tr>
        <w:tc>
          <w:tcPr>
            <w:tcW w:type="dxa" w:w="9978"/>
            <w:shd w:fill="EDF4F8"/>
            <w:tcBorders>
              <w:top w:val="single" w:sz="6" w:color="A8BBC7"/>
              <w:bottom w:val="single" w:sz="6" w:color="A8BBC7"/>
              <w:left w:val="single" w:sz="6" w:color="A8BBC7"/>
              <w:right w:val="single" w:sz="6" w:color="A8BBC7"/>
            </w:tcBorders>
          </w:tcPr>
          <w:p>
            <w:pPr>
              <w:spacing w:before="80" w:after="80"/>
            </w:pPr>
            <w:r>
              <w:rPr>
                <w:b/>
                <w:color w:val="243746"/>
                <w:sz w:val="19"/>
              </w:rPr>
              <w:t>所有输入必须登记 availability_time。任何由 Y[t+1:t+H] 定义的 future ramp/extreme label 只能作为 evaluation target，不能进入 S_t 或 C_t。</w:t>
            </w:r>
          </w:p>
        </w:tc>
      </w:tr>
    </w:tbl>
    <w:p>
      <w:pPr>
        <w:pStyle w:val="Heading1"/>
      </w:pPr>
      <w:r>
        <w:t>4. 数据集、天气协议与可复现预处理</w:t>
      </w:r>
    </w:p>
    <w:p>
      <w:pPr>
        <w:pStyle w:val="Heading2"/>
      </w:pPr>
      <w:r>
        <w:t>4.1 Dataset-Claim Matrix</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211"/>
            <w:shd w:fill="DCEAF3"/>
            <w:vAlign w:val="center"/>
          </w:tcPr>
          <w:p>
            <w:pPr>
              <w:jc w:val="center"/>
            </w:pPr>
            <w:r>
              <w:rPr>
                <w:b/>
                <w:color w:val="243746"/>
                <w:sz w:val="15"/>
              </w:rPr>
              <w:t>数据集</w:t>
            </w:r>
          </w:p>
        </w:tc>
        <w:tc>
          <w:tcPr>
            <w:tcW w:type="dxa" w:w="2381"/>
            <w:shd w:fill="DCEAF3"/>
            <w:vAlign w:val="center"/>
          </w:tcPr>
          <w:p>
            <w:pPr>
              <w:jc w:val="center"/>
            </w:pPr>
            <w:r>
              <w:rPr>
                <w:b/>
                <w:color w:val="243746"/>
                <w:sz w:val="15"/>
              </w:rPr>
              <w:t>v3.2 角色</w:t>
            </w:r>
          </w:p>
        </w:tc>
        <w:tc>
          <w:tcPr>
            <w:tcW w:type="dxa" w:w="3288"/>
            <w:shd w:fill="DCEAF3"/>
            <w:vAlign w:val="center"/>
          </w:tcPr>
          <w:p>
            <w:pPr>
              <w:jc w:val="center"/>
            </w:pPr>
            <w:r>
              <w:rPr>
                <w:b/>
                <w:color w:val="243746"/>
                <w:sz w:val="15"/>
              </w:rPr>
              <w:t>可以验证</w:t>
            </w:r>
          </w:p>
        </w:tc>
        <w:tc>
          <w:tcPr>
            <w:tcW w:type="dxa" w:w="2211"/>
            <w:shd w:fill="DCEAF3"/>
            <w:vAlign w:val="center"/>
          </w:tcPr>
          <w:p>
            <w:pPr>
              <w:jc w:val="center"/>
            </w:pPr>
            <w:r>
              <w:rPr>
                <w:b/>
                <w:color w:val="243746"/>
                <w:sz w:val="15"/>
              </w:rPr>
              <w:t>不能混做</w:t>
            </w:r>
          </w:p>
        </w:tc>
      </w:tr>
      <w:tr>
        <w:tc>
          <w:tcPr>
            <w:tcW w:type="dxa" w:w="2211"/>
            <w:vAlign w:val="center"/>
          </w:tcPr>
          <w:p>
            <w:pPr>
              <w:spacing w:before="0" w:after="0" w:line="252" w:lineRule="auto"/>
            </w:pPr>
            <w:r>
              <w:rPr>
                <w:rFonts w:ascii="Noto Sans CJK SC" w:hAnsi="Noto Sans CJK SC"/>
                <w:sz w:val="15"/>
              </w:rPr>
              <w:t>SDWPF / frozen version</w:t>
            </w:r>
          </w:p>
        </w:tc>
        <w:tc>
          <w:tcPr>
            <w:tcW w:type="dxa" w:w="2381"/>
            <w:vAlign w:val="center"/>
          </w:tcPr>
          <w:p>
            <w:pPr>
              <w:spacing w:before="0" w:after="0" w:line="252" w:lineRule="auto"/>
            </w:pPr>
            <w:r>
              <w:rPr>
                <w:rFonts w:ascii="Noto Sans CJK SC" w:hAnsi="Noto Sans CJK SC"/>
                <w:sz w:val="15"/>
              </w:rPr>
              <w:t>主 deterministic + probabilistic forecasting benchmark</w:t>
            </w:r>
          </w:p>
        </w:tc>
        <w:tc>
          <w:tcPr>
            <w:tcW w:type="dxa" w:w="3288"/>
            <w:vAlign w:val="center"/>
          </w:tcPr>
          <w:p>
            <w:pPr>
              <w:spacing w:before="0" w:after="0" w:line="252" w:lineRule="auto"/>
            </w:pPr>
            <w:r>
              <w:rPr>
                <w:rFonts w:ascii="Noto Sans CJK SC" w:hAnsi="Noto Sans CJK SC"/>
                <w:sz w:val="15"/>
              </w:rPr>
              <w:t>多机时空、missing/unknown、极端/ramp、joint scenario、calibration</w:t>
            </w:r>
          </w:p>
        </w:tc>
        <w:tc>
          <w:tcPr>
            <w:tcW w:type="dxa" w:w="2211"/>
            <w:vAlign w:val="center"/>
          </w:tcPr>
          <w:p>
            <w:pPr>
              <w:spacing w:before="0" w:after="0" w:line="252" w:lineRule="auto"/>
            </w:pPr>
            <w:r>
              <w:rPr>
                <w:rFonts w:ascii="Noto Sans CJK SC" w:hAnsi="Noto Sans CJK SC"/>
                <w:sz w:val="15"/>
              </w:rPr>
              <w:t>必须明确版本、日期范围与 ERA5 属性；不能把 future ERA5 当在线 NWP</w:t>
            </w:r>
          </w:p>
        </w:tc>
      </w:tr>
      <w:tr>
        <w:tc>
          <w:tcPr>
            <w:tcW w:type="dxa" w:w="2211"/>
            <w:vAlign w:val="center"/>
          </w:tcPr>
          <w:p>
            <w:pPr>
              <w:spacing w:before="0" w:after="0" w:line="252" w:lineRule="auto"/>
            </w:pPr>
            <w:r>
              <w:rPr>
                <w:rFonts w:ascii="Noto Sans CJK SC" w:hAnsi="Noto Sans CJK SC"/>
                <w:sz w:val="15"/>
              </w:rPr>
              <w:t>Kelmarsh</w:t>
            </w:r>
          </w:p>
        </w:tc>
        <w:tc>
          <w:tcPr>
            <w:tcW w:type="dxa" w:w="2381"/>
            <w:vAlign w:val="center"/>
          </w:tcPr>
          <w:p>
            <w:pPr>
              <w:spacing w:before="0" w:after="0" w:line="252" w:lineRule="auto"/>
            </w:pPr>
            <w:r>
              <w:rPr>
                <w:rFonts w:ascii="Noto Sans CJK SC" w:hAnsi="Noto Sans CJK SC"/>
                <w:sz w:val="15"/>
              </w:rPr>
              <w:t>外部真实风场验证</w:t>
            </w:r>
          </w:p>
        </w:tc>
        <w:tc>
          <w:tcPr>
            <w:tcW w:type="dxa" w:w="3288"/>
            <w:vAlign w:val="center"/>
          </w:tcPr>
          <w:p>
            <w:pPr>
              <w:spacing w:before="0" w:after="0" w:line="252" w:lineRule="auto"/>
            </w:pPr>
            <w:r>
              <w:rPr>
                <w:rFonts w:ascii="Noto Sans CJK SC" w:hAnsi="Noto Sans CJK SC"/>
                <w:sz w:val="15"/>
              </w:rPr>
              <w:t>weak prior、directional graph、missing robustness、跨场方向一致性</w:t>
            </w:r>
          </w:p>
        </w:tc>
        <w:tc>
          <w:tcPr>
            <w:tcW w:type="dxa" w:w="2211"/>
            <w:vAlign w:val="center"/>
          </w:tcPr>
          <w:p>
            <w:pPr>
              <w:spacing w:before="0" w:after="0" w:line="252" w:lineRule="auto"/>
            </w:pPr>
            <w:r>
              <w:rPr>
                <w:rFonts w:ascii="Noto Sans CJK SC" w:hAnsi="Noto Sans CJK SC"/>
                <w:sz w:val="15"/>
              </w:rPr>
              <w:t>N=6 与 SDWPF N=134 不做绝对 SOTA 横比</w:t>
            </w:r>
          </w:p>
        </w:tc>
      </w:tr>
      <w:tr>
        <w:tc>
          <w:tcPr>
            <w:tcW w:type="dxa" w:w="2211"/>
            <w:vAlign w:val="center"/>
          </w:tcPr>
          <w:p>
            <w:pPr>
              <w:spacing w:before="0" w:after="0" w:line="252" w:lineRule="auto"/>
            </w:pPr>
            <w:r>
              <w:rPr>
                <w:rFonts w:ascii="Noto Sans CJK SC" w:hAnsi="Noto Sans CJK SC"/>
                <w:sz w:val="15"/>
              </w:rPr>
              <w:t>WIND Toolkit / WTK-LED</w:t>
            </w:r>
          </w:p>
        </w:tc>
        <w:tc>
          <w:tcPr>
            <w:tcW w:type="dxa" w:w="2381"/>
            <w:vAlign w:val="center"/>
          </w:tcPr>
          <w:p>
            <w:pPr>
              <w:spacing w:before="0" w:after="0" w:line="252" w:lineRule="auto"/>
            </w:pPr>
            <w:r>
              <w:rPr>
                <w:rFonts w:ascii="Noto Sans CJK SC" w:hAnsi="Noto Sans CJK SC"/>
                <w:sz w:val="15"/>
              </w:rPr>
              <w:t>forecast / ensemble weather 专项</w:t>
            </w:r>
          </w:p>
        </w:tc>
        <w:tc>
          <w:tcPr>
            <w:tcW w:type="dxa" w:w="3288"/>
            <w:vAlign w:val="center"/>
          </w:tcPr>
          <w:p>
            <w:pPr>
              <w:spacing w:before="0" w:after="0" w:line="252" w:lineRule="auto"/>
            </w:pPr>
            <w:r>
              <w:rPr>
                <w:rFonts w:ascii="Noto Sans CJK SC" w:hAnsi="Noto Sans CJK SC"/>
                <w:sz w:val="15"/>
              </w:rPr>
              <w:t>真正 issue-time forecast 或 ensemble weather uncertainty</w:t>
            </w:r>
          </w:p>
        </w:tc>
        <w:tc>
          <w:tcPr>
            <w:tcW w:type="dxa" w:w="2211"/>
            <w:vAlign w:val="center"/>
          </w:tcPr>
          <w:p>
            <w:pPr>
              <w:spacing w:before="0" w:after="0" w:line="252" w:lineRule="auto"/>
            </w:pPr>
            <w:r>
              <w:rPr>
                <w:rFonts w:ascii="Noto Sans CJK SC" w:hAnsi="Noto Sans CJK SC"/>
                <w:sz w:val="15"/>
              </w:rPr>
              <w:t>若是模拟 power/资源，必须与真实 SCADA 结果分表</w:t>
            </w:r>
          </w:p>
        </w:tc>
      </w:tr>
      <w:tr>
        <w:tc>
          <w:tcPr>
            <w:tcW w:type="dxa" w:w="2211"/>
            <w:vAlign w:val="center"/>
          </w:tcPr>
          <w:p>
            <w:pPr>
              <w:spacing w:before="0" w:after="0" w:line="252" w:lineRule="auto"/>
            </w:pPr>
            <w:r>
              <w:rPr>
                <w:rFonts w:ascii="Noto Sans CJK SC" w:hAnsi="Noto Sans CJK SC"/>
                <w:sz w:val="15"/>
              </w:rPr>
              <w:t>CARE</w:t>
            </w:r>
          </w:p>
        </w:tc>
        <w:tc>
          <w:tcPr>
            <w:tcW w:type="dxa" w:w="2381"/>
            <w:vAlign w:val="center"/>
          </w:tcPr>
          <w:p>
            <w:pPr>
              <w:spacing w:before="0" w:after="0" w:line="252" w:lineRule="auto"/>
            </w:pPr>
            <w:r>
              <w:rPr>
                <w:rFonts w:ascii="Noto Sans CJK SC" w:hAnsi="Noto Sans CJK SC"/>
                <w:sz w:val="15"/>
              </w:rPr>
              <w:t>fault/anomaly/data-quality stress</w:t>
            </w:r>
          </w:p>
        </w:tc>
        <w:tc>
          <w:tcPr>
            <w:tcW w:type="dxa" w:w="3288"/>
            <w:vAlign w:val="center"/>
          </w:tcPr>
          <w:p>
            <w:pPr>
              <w:spacing w:before="0" w:after="0" w:line="252" w:lineRule="auto"/>
            </w:pPr>
            <w:r>
              <w:rPr>
                <w:rFonts w:ascii="Noto Sans CJK SC" w:hAnsi="Noto Sans CJK SC"/>
                <w:sz w:val="15"/>
              </w:rPr>
              <w:t>fault windows、R_data、OOD/missing diagnostics</w:t>
            </w:r>
          </w:p>
        </w:tc>
        <w:tc>
          <w:tcPr>
            <w:tcW w:type="dxa" w:w="2211"/>
            <w:vAlign w:val="center"/>
          </w:tcPr>
          <w:p>
            <w:pPr>
              <w:spacing w:before="0" w:after="0" w:line="252" w:lineRule="auto"/>
            </w:pPr>
            <w:r>
              <w:rPr>
                <w:rFonts w:ascii="Noto Sans CJK SC" w:hAnsi="Noto Sans CJK SC"/>
                <w:sz w:val="15"/>
              </w:rPr>
              <w:t>不是 36 台同步图预测 benchmark</w:t>
            </w:r>
          </w:p>
        </w:tc>
      </w:tr>
    </w:tbl>
    <w:p>
      <w:pPr>
        <w:spacing w:after="0"/>
      </w:pPr>
    </w:p>
    <w:p>
      <w:pPr>
        <w:pStyle w:val="Heading2"/>
      </w:pPr>
      <w:r>
        <w:t>4.2 天气可用性三协议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381"/>
            <w:shd w:fill="DCEAF3"/>
            <w:vAlign w:val="center"/>
          </w:tcPr>
          <w:p>
            <w:pPr>
              <w:jc w:val="center"/>
            </w:pPr>
            <w:r>
              <w:rPr>
                <w:b/>
                <w:color w:val="243746"/>
                <w:sz w:val="16"/>
              </w:rPr>
              <w:t>协议</w:t>
            </w:r>
          </w:p>
        </w:tc>
        <w:tc>
          <w:tcPr>
            <w:tcW w:type="dxa" w:w="3288"/>
            <w:shd w:fill="DCEAF3"/>
            <w:vAlign w:val="center"/>
          </w:tcPr>
          <w:p>
            <w:pPr>
              <w:jc w:val="center"/>
            </w:pPr>
            <w:r>
              <w:rPr>
                <w:b/>
                <w:color w:val="243746"/>
                <w:sz w:val="16"/>
              </w:rPr>
              <w:t>可使用天气</w:t>
            </w:r>
          </w:p>
        </w:tc>
        <w:tc>
          <w:tcPr>
            <w:tcW w:type="dxa" w:w="2438"/>
            <w:shd w:fill="DCEAF3"/>
            <w:vAlign w:val="center"/>
          </w:tcPr>
          <w:p>
            <w:pPr>
              <w:jc w:val="center"/>
            </w:pPr>
            <w:r>
              <w:rPr>
                <w:b/>
                <w:color w:val="243746"/>
                <w:sz w:val="16"/>
              </w:rPr>
              <w:t>论文定位</w:t>
            </w:r>
          </w:p>
        </w:tc>
        <w:tc>
          <w:tcPr>
            <w:tcW w:type="dxa" w:w="1984"/>
            <w:shd w:fill="DCEAF3"/>
            <w:vAlign w:val="center"/>
          </w:tcPr>
          <w:p>
            <w:pPr>
              <w:jc w:val="center"/>
            </w:pPr>
            <w:r>
              <w:rPr>
                <w:b/>
                <w:color w:val="243746"/>
                <w:sz w:val="16"/>
              </w:rPr>
              <w:t>主表要求</w:t>
            </w:r>
          </w:p>
        </w:tc>
      </w:tr>
      <w:tr>
        <w:tc>
          <w:tcPr>
            <w:tcW w:type="dxa" w:w="2381"/>
            <w:vAlign w:val="center"/>
          </w:tcPr>
          <w:p>
            <w:pPr>
              <w:spacing w:before="0" w:after="0" w:line="252" w:lineRule="auto"/>
            </w:pPr>
            <w:r>
              <w:rPr>
                <w:rFonts w:ascii="Noto Sans CJK SC" w:hAnsi="Noto Sans CJK SC"/>
                <w:sz w:val="16"/>
              </w:rPr>
              <w:t>History-only（主协议）</w:t>
            </w:r>
          </w:p>
        </w:tc>
        <w:tc>
          <w:tcPr>
            <w:tcW w:type="dxa" w:w="3288"/>
            <w:vAlign w:val="center"/>
          </w:tcPr>
          <w:p>
            <w:pPr>
              <w:spacing w:before="0" w:after="0" w:line="252" w:lineRule="auto"/>
            </w:pPr>
            <w:r>
              <w:rPr>
                <w:rFonts w:ascii="Noto Sans CJK SC" w:hAnsi="Noto Sans CJK SC"/>
                <w:sz w:val="16"/>
              </w:rPr>
              <w:t>只使用 t 及以前可获得历史天气/SCADA</w:t>
            </w:r>
          </w:p>
        </w:tc>
        <w:tc>
          <w:tcPr>
            <w:tcW w:type="dxa" w:w="2438"/>
            <w:vAlign w:val="center"/>
          </w:tcPr>
          <w:p>
            <w:pPr>
              <w:spacing w:before="0" w:after="0" w:line="252" w:lineRule="auto"/>
            </w:pPr>
            <w:r>
              <w:rPr>
                <w:rFonts w:ascii="Noto Sans CJK SC" w:hAnsi="Noto Sans CJK SC"/>
                <w:sz w:val="16"/>
              </w:rPr>
              <w:t>最严格、可运行主结果</w:t>
            </w:r>
          </w:p>
        </w:tc>
        <w:tc>
          <w:tcPr>
            <w:tcW w:type="dxa" w:w="1984"/>
            <w:vAlign w:val="center"/>
          </w:tcPr>
          <w:p>
            <w:pPr>
              <w:spacing w:before="0" w:after="0" w:line="252" w:lineRule="auto"/>
            </w:pPr>
            <w:r>
              <w:rPr>
                <w:rFonts w:ascii="Noto Sans CJK SC" w:hAnsi="Noto Sans CJK SC"/>
                <w:sz w:val="16"/>
              </w:rPr>
              <w:t>必须作为主结果</w:t>
            </w:r>
          </w:p>
        </w:tc>
      </w:tr>
      <w:tr>
        <w:tc>
          <w:tcPr>
            <w:tcW w:type="dxa" w:w="2381"/>
            <w:vAlign w:val="center"/>
          </w:tcPr>
          <w:p>
            <w:pPr>
              <w:spacing w:before="0" w:after="0" w:line="252" w:lineRule="auto"/>
            </w:pPr>
            <w:r>
              <w:rPr>
                <w:rFonts w:ascii="Noto Sans CJK SC" w:hAnsi="Noto Sans CJK SC"/>
                <w:sz w:val="16"/>
              </w:rPr>
              <w:t>Oracle-weather</w:t>
            </w:r>
          </w:p>
        </w:tc>
        <w:tc>
          <w:tcPr>
            <w:tcW w:type="dxa" w:w="3288"/>
            <w:vAlign w:val="center"/>
          </w:tcPr>
          <w:p>
            <w:pPr>
              <w:spacing w:before="0" w:after="0" w:line="252" w:lineRule="auto"/>
            </w:pPr>
            <w:r>
              <w:rPr>
                <w:rFonts w:ascii="Noto Sans CJK SC" w:hAnsi="Noto Sans CJK SC"/>
                <w:sz w:val="16"/>
              </w:rPr>
              <w:t>允许 future ERA5/reanalysis</w:t>
            </w:r>
          </w:p>
        </w:tc>
        <w:tc>
          <w:tcPr>
            <w:tcW w:type="dxa" w:w="2438"/>
            <w:vAlign w:val="center"/>
          </w:tcPr>
          <w:p>
            <w:pPr>
              <w:spacing w:before="0" w:after="0" w:line="252" w:lineRule="auto"/>
            </w:pPr>
            <w:r>
              <w:rPr>
                <w:rFonts w:ascii="Noto Sans CJK SC" w:hAnsi="Noto Sans CJK SC"/>
                <w:sz w:val="16"/>
              </w:rPr>
              <w:t>perfect-prognosis / offline upper bound</w:t>
            </w:r>
          </w:p>
        </w:tc>
        <w:tc>
          <w:tcPr>
            <w:tcW w:type="dxa" w:w="1984"/>
            <w:vAlign w:val="center"/>
          </w:tcPr>
          <w:p>
            <w:pPr>
              <w:spacing w:before="0" w:after="0" w:line="252" w:lineRule="auto"/>
            </w:pPr>
            <w:r>
              <w:rPr>
                <w:rFonts w:ascii="Noto Sans CJK SC" w:hAnsi="Noto Sans CJK SC"/>
                <w:sz w:val="16"/>
              </w:rPr>
              <w:t>与 History-only 并列，明确 oracle gap</w:t>
            </w:r>
          </w:p>
        </w:tc>
      </w:tr>
      <w:tr>
        <w:tc>
          <w:tcPr>
            <w:tcW w:type="dxa" w:w="2381"/>
            <w:vAlign w:val="center"/>
          </w:tcPr>
          <w:p>
            <w:pPr>
              <w:spacing w:before="0" w:after="0" w:line="252" w:lineRule="auto"/>
            </w:pPr>
            <w:r>
              <w:rPr>
                <w:rFonts w:ascii="Noto Sans CJK SC" w:hAnsi="Noto Sans CJK SC"/>
                <w:sz w:val="16"/>
              </w:rPr>
              <w:t>Issue-time forecast</w:t>
            </w:r>
          </w:p>
        </w:tc>
        <w:tc>
          <w:tcPr>
            <w:tcW w:type="dxa" w:w="3288"/>
            <w:vAlign w:val="center"/>
          </w:tcPr>
          <w:p>
            <w:pPr>
              <w:spacing w:before="0" w:after="0" w:line="252" w:lineRule="auto"/>
            </w:pPr>
            <w:r>
              <w:rPr>
                <w:rFonts w:ascii="Noto Sans CJK SC" w:hAnsi="Noto Sans CJK SC"/>
                <w:sz w:val="16"/>
              </w:rPr>
              <w:t>forecast initialization ≤ t 的真实 NWP/ensemble</w:t>
            </w:r>
          </w:p>
        </w:tc>
        <w:tc>
          <w:tcPr>
            <w:tcW w:type="dxa" w:w="2438"/>
            <w:vAlign w:val="center"/>
          </w:tcPr>
          <w:p>
            <w:pPr>
              <w:spacing w:before="0" w:after="0" w:line="252" w:lineRule="auto"/>
            </w:pPr>
            <w:r>
              <w:rPr>
                <w:rFonts w:ascii="Noto Sans CJK SC" w:hAnsi="Noto Sans CJK SC"/>
                <w:sz w:val="16"/>
              </w:rPr>
              <w:t>真正在线未来协变量协议</w:t>
            </w:r>
          </w:p>
        </w:tc>
        <w:tc>
          <w:tcPr>
            <w:tcW w:type="dxa" w:w="1984"/>
            <w:vAlign w:val="center"/>
          </w:tcPr>
          <w:p>
            <w:pPr>
              <w:spacing w:before="0" w:after="0" w:line="252" w:lineRule="auto"/>
            </w:pPr>
            <w:r>
              <w:rPr>
                <w:rFonts w:ascii="Noto Sans CJK SC" w:hAnsi="Noto Sans CJK SC"/>
                <w:sz w:val="16"/>
              </w:rPr>
              <w:t>只有具备 forecast archive 时报告</w:t>
            </w:r>
          </w:p>
        </w:tc>
      </w:tr>
    </w:tbl>
    <w:p>
      <w:pPr>
        <w:spacing w:after="0"/>
      </w:pPr>
    </w:p>
    <w:p>
      <w:pPr>
        <w:pStyle w:val="Heading2"/>
      </w:pPr>
      <w:r>
        <w:t>4.3 时间连续性与官方异常语义</w:t>
      </w:r>
    </w:p>
    <w:p>
      <w:pPr>
        <w:spacing w:after="30"/>
        <w:ind w:left="340" w:hanging="340"/>
      </w:pPr>
      <w:r>
        <w:t>1.  按 TurbID × 原生采样间隔建立 rigid grid；missing timestamp 仍保留占位，不跨风机 dropna。</w:t>
      </w:r>
    </w:p>
    <w:p>
      <w:pPr>
        <w:spacing w:after="30"/>
        <w:ind w:left="340" w:hanging="340"/>
      </w:pPr>
      <w:r>
        <w:t>2.  优先采用 SDWPF 官方 missing/unknown/abnormal 语义；例如 Patv≤0 且 Wspd&gt;2.5、Pab&gt;89° 等官方 unknown 不解释成真实 cut-out=0。</w:t>
      </w:r>
    </w:p>
    <w:p>
      <w:pPr>
        <w:spacing w:after="30"/>
        <w:ind w:left="340" w:hanging="340"/>
      </w:pPr>
      <w:r>
        <w:t>3.  生成 reason_code={valid,missing,unknown,abnormal}，必要时将自定义 IQR/DBSCAN 仅作为附加敏感性，不替代官方语义。</w:t>
      </w:r>
    </w:p>
    <w:p>
      <w:pPr>
        <w:spacing w:after="30"/>
        <w:ind w:left="340" w:hanging="340"/>
      </w:pPr>
      <w:r>
        <w:t>4.  X_fill 可用 forward fill / Train mean 等作为计算载体，但 M 与 ΔT 永远保留。</w:t>
      </w:r>
    </w:p>
    <w:p>
      <w:pPr>
        <w:spacing w:after="30"/>
        <w:ind w:left="340" w:hanging="340"/>
      </w:pPr>
      <w:r>
        <w:t>5.  future label 若无效，M_y=0，不参与训练 loss 和主指标。</w:t>
      </w:r>
    </w:p>
    <w:p>
      <w:pPr>
        <w:pStyle w:val="FormulaBlock"/>
      </w:pPr>
      <w:r>
        <w:rPr>
          <w:rFonts w:ascii="DejaVu Sans Mono" w:hAnsi="DejaVu Sans Mono"/>
          <w:color w:val="233642"/>
          <w:sz w:val="18"/>
        </w:rPr>
        <w:t>L_point = Σ(M_y · Huber(Y,Y_det)) / (Σ M_y + ε)</w:t>
      </w:r>
    </w:p>
    <w:p>
      <w:pPr>
        <w:pStyle w:val="Heading2"/>
      </w:pPr>
      <w:r>
        <w:t>4.4 划分与泄漏防护</w:t>
      </w:r>
    </w:p>
    <w:p>
      <w:pPr>
        <w:pStyle w:val="ListBullet"/>
        <w:spacing w:after="30"/>
      </w:pPr>
      <w:r>
        <w:t>主建议：Train 60% / Val 15% / Calib 10% / Test 15%，按时间顺序。</w:t>
      </w:r>
    </w:p>
    <w:p>
      <w:pPr>
        <w:pStyle w:val="ListBullet"/>
        <w:spacing w:after="30"/>
      </w:pPr>
      <w:r>
        <w:t>先定义时间边界，再在各 split 内生成窗口；跨边界窗口丢弃。</w:t>
      </w:r>
    </w:p>
    <w:p>
      <w:pPr>
        <w:pStyle w:val="ListBullet"/>
        <w:spacing w:after="30"/>
      </w:pPr>
      <w:r>
        <w:t>同一 extreme event_id 不跨 split；必要时移动边界或整段归属一侧。</w:t>
      </w:r>
    </w:p>
    <w:p>
      <w:pPr>
        <w:pStyle w:val="ListBullet"/>
        <w:spacing w:after="30"/>
      </w:pPr>
      <w:r>
        <w:t>所有 scaler、power curve、A_corr、异常统计阈值、OOD 协方差矩阵只能由 Train 估计。</w:t>
      </w:r>
    </w:p>
    <w:p>
      <w:pPr>
        <w:pStyle w:val="ListBullet"/>
        <w:spacing w:after="30"/>
      </w:pPr>
      <w:r>
        <w:t>Calib 只用于校准；Test 只用于冻结后的最终报告。</w:t>
      </w:r>
    </w:p>
    <w:p>
      <w:pPr>
        <w:pStyle w:val="Heading1"/>
      </w:pPr>
      <w:r>
        <w:t>5. 弱物理中心：等密度经验功率曲线</w:t>
      </w:r>
    </w:p>
    <w:p>
      <w:pPr>
        <w:pStyle w:val="Heading2"/>
      </w:pPr>
      <w:r>
        <w:t>5.1 空气密度与等效风速</w:t>
      </w:r>
    </w:p>
    <w:p>
      <w:pPr>
        <w:pStyle w:val="FormulaBlock"/>
      </w:pPr>
      <w:r>
        <w:rPr>
          <w:rFonts w:ascii="DejaVu Sans Mono" w:hAnsi="DejaVu Sans Mono"/>
          <w:color w:val="233642"/>
          <w:sz w:val="18"/>
        </w:rPr>
        <w:t>ρ_t = p_t / (R_d T_t),   R_d ≈ 287.05 J/(kg·K),   ρ_0 = 1.225 kg/m³</w:t>
      </w:r>
    </w:p>
    <w:p>
      <w:pPr>
        <w:pStyle w:val="FormulaBlock"/>
      </w:pPr>
      <w:r>
        <w:rPr>
          <w:rFonts w:ascii="DejaVu Sans Mono" w:hAnsi="DejaVu Sans Mono"/>
          <w:color w:val="233642"/>
          <w:sz w:val="18"/>
        </w:rPr>
        <w:t>v_eq,t = v_t · (ρ_t / ρ_0)^(1/3)</w:t>
      </w:r>
    </w:p>
    <w:p>
      <w:r>
        <w:rPr>
          <w:i w:val="0"/>
        </w:rPr>
        <w:t>这里的“物理”是经验物理归一：同样风速下，空气越密，风功率主趋势通常越高；用 1/3 次幂把密度变化折算到参考密度风速。它不等同于完整空气动力学或尾流求解。</w:t>
      </w:r>
    </w:p>
    <w:p>
      <w:pPr>
        <w:pStyle w:val="Heading2"/>
      </w:pPr>
      <w:r>
        <w:t>5.2 Train-only empirical power curve</w:t>
      </w:r>
    </w:p>
    <w:p>
      <w:pPr>
        <w:pStyle w:val="FormulaBlock"/>
      </w:pPr>
      <w:r>
        <w:rPr>
          <w:rFonts w:ascii="DejaVu Sans Mono" w:hAnsi="DejaVu Sans Mono"/>
          <w:color w:val="233642"/>
          <w:sz w:val="18"/>
        </w:rPr>
        <w:t>P_pc = f_pc(v_eq)</w:t>
      </w:r>
    </w:p>
    <w:p>
      <w:r>
        <w:rPr>
          <w:i w:val="0"/>
        </w:rPr>
        <w:t>f_pc 只在 Train 集有效、正常运行样本上拟合，可采用 bin median + monotone/spline smoothing。power curve、平滑参数和任何标准化统计均不得使用 Val/Calib/Test。</w:t>
      </w:r>
    </w:p>
    <w:p>
      <w:pPr>
        <w:pStyle w:val="Heading2"/>
      </w:pPr>
      <w:r>
        <w:t>5.3 为什么不把 Jensen/WakeModel 放主线</w:t>
      </w:r>
    </w:p>
    <w:p>
      <w:r>
        <w:rPr>
          <w:i w:val="0"/>
        </w:rPr>
        <w:t>Jensen/Park 需要 free-stream wind、thrust coefficient、wake expansion、superposition 与设备参数。SDWPF 的机舱风速还可能已经受局地尾流影响。在参数和可识别性不足时，把 wake model 当“物理真值中心”会引入新的模型误差。v3.2 仅在 Kelmarsh 等参数较完整的数据上把 Jensen/WakeModel 作为增强/消融。</w:t>
      </w:r>
    </w:p>
    <w:tbl>
      <w:tblPr>
        <w:tblW w:type="auto" w:w="0"/>
        <w:jc w:val="center"/>
        <w:tblLook w:firstColumn="1" w:firstRow="1" w:lastColumn="0" w:lastRow="0" w:noHBand="0" w:noVBand="1" w:val="04A0"/>
      </w:tblPr>
      <w:tblGrid>
        <w:gridCol w:w="9978"/>
      </w:tblGrid>
      <w:tr>
        <w:tc>
          <w:tcPr>
            <w:tcW w:type="dxa" w:w="9978"/>
            <w:shd w:fill="EDF4F8"/>
            <w:tcBorders>
              <w:top w:val="single" w:sz="6" w:color="A8BBC7"/>
              <w:bottom w:val="single" w:sz="6" w:color="A8BBC7"/>
              <w:left w:val="single" w:sz="6" w:color="A8BBC7"/>
              <w:right w:val="single" w:sz="6" w:color="A8BBC7"/>
            </w:tcBorders>
          </w:tcPr>
          <w:p>
            <w:pPr>
              <w:spacing w:before="80" w:after="80"/>
            </w:pPr>
            <w:r>
              <w:rPr>
                <w:b/>
                <w:color w:val="243746"/>
                <w:sz w:val="19"/>
              </w:rPr>
              <w:t>最终主中心：P_pc，而不是 WakeModel。</w:t>
            </w:r>
          </w:p>
        </w:tc>
      </w:tr>
    </w:tbl>
    <w:p>
      <w:pPr>
        <w:pStyle w:val="Heading1"/>
      </w:pPr>
      <w:r>
        <w:t>6. 动态多图时空残差主干</w:t>
      </w:r>
    </w:p>
    <w:p>
      <w:pPr>
        <w:pStyle w:val="Heading2"/>
      </w:pPr>
      <w:r>
        <w:t>6.1 残差定义与中心预测</w:t>
      </w:r>
    </w:p>
    <w:p>
      <w:pPr>
        <w:pStyle w:val="FormulaBlock"/>
      </w:pPr>
      <w:r>
        <w:rPr>
          <w:rFonts w:ascii="DejaVu Sans Mono" w:hAnsi="DejaVu Sans Mono"/>
          <w:color w:val="233642"/>
          <w:sz w:val="18"/>
        </w:rPr>
        <w:t>R = Y − P_pc</w:t>
      </w:r>
    </w:p>
    <w:p>
      <w:pPr>
        <w:pStyle w:val="FormulaBlock"/>
      </w:pPr>
      <w:r>
        <w:rPr>
          <w:rFonts w:ascii="DejaVu Sans Mono" w:hAnsi="DejaVu Sans Mono"/>
          <w:color w:val="233642"/>
          <w:sz w:val="18"/>
        </w:rPr>
        <w:t>R_hat = f_θ(X_fill, M, ΔT, A_geo, A_corr, A_dir, A_adp)</w:t>
      </w:r>
    </w:p>
    <w:p>
      <w:pPr>
        <w:pStyle w:val="FormulaBlock"/>
      </w:pPr>
      <w:r>
        <w:rPr>
          <w:rFonts w:ascii="DejaVu Sans Mono" w:hAnsi="DejaVu Sans Mono"/>
          <w:color w:val="233642"/>
          <w:sz w:val="18"/>
        </w:rPr>
        <w:t>Y_det = clip(P_pc + R_hat, 0, P_rated)</w:t>
      </w:r>
    </w:p>
    <w:p>
      <w:r>
        <w:rPr>
          <w:i w:val="0"/>
        </w:rPr>
        <w:t>P_pc 负责风速/空气密度对应的可解释主趋势；R 承载偏航、桨距、局地尾流、空间传播、机组状态和数据驱动动态等经验曲线未解释部分。</w:t>
      </w:r>
    </w:p>
    <w:p>
      <w:pPr>
        <w:pStyle w:val="Heading2"/>
      </w:pPr>
      <w:r>
        <w:t>6.2 四类图</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531"/>
            <w:shd w:fill="DCEAF3"/>
            <w:vAlign w:val="center"/>
          </w:tcPr>
          <w:p>
            <w:pPr>
              <w:jc w:val="center"/>
            </w:pPr>
            <w:r>
              <w:rPr>
                <w:b/>
                <w:color w:val="243746"/>
                <w:sz w:val="16"/>
              </w:rPr>
              <w:t>图</w:t>
            </w:r>
          </w:p>
        </w:tc>
        <w:tc>
          <w:tcPr>
            <w:tcW w:type="dxa" w:w="3175"/>
            <w:shd w:fill="DCEAF3"/>
            <w:vAlign w:val="center"/>
          </w:tcPr>
          <w:p>
            <w:pPr>
              <w:jc w:val="center"/>
            </w:pPr>
            <w:r>
              <w:rPr>
                <w:b/>
                <w:color w:val="243746"/>
                <w:sz w:val="16"/>
              </w:rPr>
              <w:t>构造</w:t>
            </w:r>
          </w:p>
        </w:tc>
        <w:tc>
          <w:tcPr>
            <w:tcW w:type="dxa" w:w="2948"/>
            <w:shd w:fill="DCEAF3"/>
            <w:vAlign w:val="center"/>
          </w:tcPr>
          <w:p>
            <w:pPr>
              <w:jc w:val="center"/>
            </w:pPr>
            <w:r>
              <w:rPr>
                <w:b/>
                <w:color w:val="243746"/>
                <w:sz w:val="16"/>
              </w:rPr>
              <w:t>含义</w:t>
            </w:r>
          </w:p>
        </w:tc>
        <w:tc>
          <w:tcPr>
            <w:tcW w:type="dxa" w:w="2438"/>
            <w:shd w:fill="DCEAF3"/>
            <w:vAlign w:val="center"/>
          </w:tcPr>
          <w:p>
            <w:pPr>
              <w:jc w:val="center"/>
            </w:pPr>
            <w:r>
              <w:rPr>
                <w:b/>
                <w:color w:val="243746"/>
                <w:sz w:val="16"/>
              </w:rPr>
              <w:t>注意</w:t>
            </w:r>
          </w:p>
        </w:tc>
      </w:tr>
      <w:tr>
        <w:tc>
          <w:tcPr>
            <w:tcW w:type="dxa" w:w="1531"/>
            <w:vAlign w:val="center"/>
          </w:tcPr>
          <w:p>
            <w:pPr>
              <w:spacing w:before="0" w:after="0" w:line="252" w:lineRule="auto"/>
            </w:pPr>
            <w:r>
              <w:rPr>
                <w:rFonts w:ascii="Noto Sans CJK SC" w:hAnsi="Noto Sans CJK SC"/>
                <w:sz w:val="16"/>
              </w:rPr>
              <w:t>A_geo</w:t>
            </w:r>
          </w:p>
        </w:tc>
        <w:tc>
          <w:tcPr>
            <w:tcW w:type="dxa" w:w="3175"/>
            <w:vAlign w:val="center"/>
          </w:tcPr>
          <w:p>
            <w:pPr>
              <w:spacing w:before="0" w:after="0" w:line="252" w:lineRule="auto"/>
            </w:pPr>
            <w:r>
              <w:rPr>
                <w:rFonts w:ascii="Noto Sans CJK SC" w:hAnsi="Noto Sans CJK SC"/>
                <w:sz w:val="16"/>
              </w:rPr>
              <w:t>坐标距离/近邻</w:t>
            </w:r>
          </w:p>
        </w:tc>
        <w:tc>
          <w:tcPr>
            <w:tcW w:type="dxa" w:w="2948"/>
            <w:vAlign w:val="center"/>
          </w:tcPr>
          <w:p>
            <w:pPr>
              <w:spacing w:before="0" w:after="0" w:line="252" w:lineRule="auto"/>
            </w:pPr>
            <w:r>
              <w:rPr>
                <w:rFonts w:ascii="Noto Sans CJK SC" w:hAnsi="Noto Sans CJK SC"/>
                <w:sz w:val="16"/>
              </w:rPr>
              <w:t>静态空间邻近</w:t>
            </w:r>
          </w:p>
        </w:tc>
        <w:tc>
          <w:tcPr>
            <w:tcW w:type="dxa" w:w="2438"/>
            <w:vAlign w:val="center"/>
          </w:tcPr>
          <w:p>
            <w:pPr>
              <w:spacing w:before="0" w:after="0" w:line="252" w:lineRule="auto"/>
            </w:pPr>
            <w:r>
              <w:rPr>
                <w:rFonts w:ascii="Noto Sans CJK SC" w:hAnsi="Noto Sans CJK SC"/>
                <w:sz w:val="16"/>
              </w:rPr>
              <w:t>可解释结构先验</w:t>
            </w:r>
          </w:p>
        </w:tc>
      </w:tr>
      <w:tr>
        <w:tc>
          <w:tcPr>
            <w:tcW w:type="dxa" w:w="1531"/>
            <w:vAlign w:val="center"/>
          </w:tcPr>
          <w:p>
            <w:pPr>
              <w:spacing w:before="0" w:after="0" w:line="252" w:lineRule="auto"/>
            </w:pPr>
            <w:r>
              <w:rPr>
                <w:rFonts w:ascii="Noto Sans CJK SC" w:hAnsi="Noto Sans CJK SC"/>
                <w:sz w:val="16"/>
              </w:rPr>
              <w:t>A_corr</w:t>
            </w:r>
          </w:p>
        </w:tc>
        <w:tc>
          <w:tcPr>
            <w:tcW w:type="dxa" w:w="3175"/>
            <w:vAlign w:val="center"/>
          </w:tcPr>
          <w:p>
            <w:pPr>
              <w:spacing w:before="0" w:after="0" w:line="252" w:lineRule="auto"/>
            </w:pPr>
            <w:r>
              <w:rPr>
                <w:rFonts w:ascii="Noto Sans CJK SC" w:hAnsi="Noto Sans CJK SC"/>
                <w:sz w:val="16"/>
              </w:rPr>
              <w:t>Train-only raw/diff power correlation</w:t>
            </w:r>
          </w:p>
        </w:tc>
        <w:tc>
          <w:tcPr>
            <w:tcW w:type="dxa" w:w="2948"/>
            <w:vAlign w:val="center"/>
          </w:tcPr>
          <w:p>
            <w:pPr>
              <w:spacing w:before="0" w:after="0" w:line="252" w:lineRule="auto"/>
            </w:pPr>
            <w:r>
              <w:rPr>
                <w:rFonts w:ascii="Noto Sans CJK SC" w:hAnsi="Noto Sans CJK SC"/>
                <w:sz w:val="16"/>
              </w:rPr>
              <w:t>统计共变/共同波动</w:t>
            </w:r>
          </w:p>
        </w:tc>
        <w:tc>
          <w:tcPr>
            <w:tcW w:type="dxa" w:w="2438"/>
            <w:vAlign w:val="center"/>
          </w:tcPr>
          <w:p>
            <w:pPr>
              <w:spacing w:before="0" w:after="0" w:line="252" w:lineRule="auto"/>
            </w:pPr>
            <w:r>
              <w:rPr>
                <w:rFonts w:ascii="Noto Sans CJK SC" w:hAnsi="Noto Sans CJK SC"/>
                <w:sz w:val="16"/>
              </w:rPr>
              <w:t>diff corr 是本文设计，必须 raw-vs-diff 消融</w:t>
            </w:r>
          </w:p>
        </w:tc>
      </w:tr>
      <w:tr>
        <w:tc>
          <w:tcPr>
            <w:tcW w:type="dxa" w:w="1531"/>
            <w:vAlign w:val="center"/>
          </w:tcPr>
          <w:p>
            <w:pPr>
              <w:spacing w:before="0" w:after="0" w:line="252" w:lineRule="auto"/>
            </w:pPr>
            <w:r>
              <w:rPr>
                <w:rFonts w:ascii="Noto Sans CJK SC" w:hAnsi="Noto Sans CJK SC"/>
                <w:sz w:val="16"/>
              </w:rPr>
              <w:t>A_dir</w:t>
            </w:r>
          </w:p>
        </w:tc>
        <w:tc>
          <w:tcPr>
            <w:tcW w:type="dxa" w:w="3175"/>
            <w:vAlign w:val="center"/>
          </w:tcPr>
          <w:p>
            <w:pPr>
              <w:spacing w:before="0" w:after="0" w:line="252" w:lineRule="auto"/>
            </w:pPr>
            <w:r>
              <w:rPr>
                <w:rFonts w:ascii="Noto Sans CJK SC" w:hAnsi="Noto Sans CJK SC"/>
                <w:sz w:val="16"/>
              </w:rPr>
              <w:t>当前/近期风向 + 两机方位 + 距离</w:t>
            </w:r>
          </w:p>
        </w:tc>
        <w:tc>
          <w:tcPr>
            <w:tcW w:type="dxa" w:w="2948"/>
            <w:vAlign w:val="center"/>
          </w:tcPr>
          <w:p>
            <w:pPr>
              <w:spacing w:before="0" w:after="0" w:line="252" w:lineRule="auto"/>
            </w:pPr>
            <w:r>
              <w:rPr>
                <w:rFonts w:ascii="Noto Sans CJK SC" w:hAnsi="Noto Sans CJK SC"/>
                <w:sz w:val="16"/>
              </w:rPr>
              <w:t>下风方向传播弱先验</w:t>
            </w:r>
          </w:p>
        </w:tc>
        <w:tc>
          <w:tcPr>
            <w:tcW w:type="dxa" w:w="2438"/>
            <w:vAlign w:val="center"/>
          </w:tcPr>
          <w:p>
            <w:pPr>
              <w:spacing w:before="0" w:after="0" w:line="252" w:lineRule="auto"/>
            </w:pPr>
            <w:r>
              <w:rPr>
                <w:rFonts w:ascii="Noto Sans CJK SC" w:hAnsi="Noto Sans CJK SC"/>
                <w:sz w:val="16"/>
              </w:rPr>
              <w:t>不计算真实 wake deficit</w:t>
            </w:r>
          </w:p>
        </w:tc>
      </w:tr>
      <w:tr>
        <w:tc>
          <w:tcPr>
            <w:tcW w:type="dxa" w:w="1531"/>
            <w:vAlign w:val="center"/>
          </w:tcPr>
          <w:p>
            <w:pPr>
              <w:spacing w:before="0" w:after="0" w:line="252" w:lineRule="auto"/>
            </w:pPr>
            <w:r>
              <w:rPr>
                <w:rFonts w:ascii="Noto Sans CJK SC" w:hAnsi="Noto Sans CJK SC"/>
                <w:sz w:val="16"/>
              </w:rPr>
              <w:t>A_adp</w:t>
            </w:r>
          </w:p>
        </w:tc>
        <w:tc>
          <w:tcPr>
            <w:tcW w:type="dxa" w:w="3175"/>
            <w:vAlign w:val="center"/>
          </w:tcPr>
          <w:p>
            <w:pPr>
              <w:spacing w:before="0" w:after="0" w:line="252" w:lineRule="auto"/>
            </w:pPr>
            <w:r>
              <w:rPr>
                <w:rFonts w:ascii="Noto Sans CJK SC" w:hAnsi="Noto Sans CJK SC"/>
                <w:sz w:val="16"/>
              </w:rPr>
              <w:t>node embedding end-to-end</w:t>
            </w:r>
          </w:p>
        </w:tc>
        <w:tc>
          <w:tcPr>
            <w:tcW w:type="dxa" w:w="2948"/>
            <w:vAlign w:val="center"/>
          </w:tcPr>
          <w:p>
            <w:pPr>
              <w:spacing w:before="0" w:after="0" w:line="252" w:lineRule="auto"/>
            </w:pPr>
            <w:r>
              <w:rPr>
                <w:rFonts w:ascii="Noto Sans CJK SC" w:hAnsi="Noto Sans CJK SC"/>
                <w:sz w:val="16"/>
              </w:rPr>
              <w:t>显式规则未捕捉的隐式依赖</w:t>
            </w:r>
          </w:p>
        </w:tc>
        <w:tc>
          <w:tcPr>
            <w:tcW w:type="dxa" w:w="2438"/>
            <w:vAlign w:val="center"/>
          </w:tcPr>
          <w:p>
            <w:pPr>
              <w:spacing w:before="0" w:after="0" w:line="252" w:lineRule="auto"/>
            </w:pPr>
            <w:r>
              <w:rPr>
                <w:rFonts w:ascii="Noto Sans CJK SC" w:hAnsi="Noto Sans CJK SC"/>
                <w:sz w:val="16"/>
              </w:rPr>
              <w:t>参考 Graph WaveNet/AGCRN</w:t>
            </w:r>
          </w:p>
        </w:tc>
      </w:tr>
    </w:tbl>
    <w:p>
      <w:pPr>
        <w:spacing w:after="0"/>
      </w:pPr>
    </w:p>
    <w:p>
      <w:pPr>
        <w:pStyle w:val="FormulaBlock"/>
      </w:pPr>
      <w:r>
        <w:rPr>
          <w:rFonts w:ascii="DejaVu Sans Mono" w:hAnsi="DejaVu Sans Mono"/>
          <w:color w:val="233642"/>
          <w:sz w:val="18"/>
        </w:rPr>
        <w:t>A_dir,ij(t)=exp(−d_ij/λ_d) · exp(−Δθ_ij(t)^2/(2σ_θ^2)) · I[j lies in the downwind sector of i]</w:t>
      </w:r>
    </w:p>
    <w:p>
      <w:pPr>
        <w:pStyle w:val="FormulaBlock"/>
      </w:pPr>
      <w:r>
        <w:rPr>
          <w:rFonts w:ascii="DejaVu Sans Mono" w:hAnsi="DejaVu Sans Mono"/>
          <w:color w:val="233642"/>
          <w:sz w:val="18"/>
        </w:rPr>
        <w:t>A_t = Σ_k α_k(t) A_k,   α(t)=softmax(g(H_t))</w:t>
      </w:r>
    </w:p>
    <w:p>
      <w:pPr>
        <w:pStyle w:val="Heading2"/>
      </w:pPr>
      <w:r>
        <w:t>6.3 确定性训练原则</w:t>
      </w:r>
    </w:p>
    <w:p>
      <w:pPr>
        <w:pStyle w:val="ListBullet"/>
        <w:spacing w:after="30"/>
      </w:pPr>
      <w:r>
        <w:t>先单独把 deterministic center 训练好，再进入概率层。</w:t>
      </w:r>
    </w:p>
    <w:p>
      <w:pPr>
        <w:pStyle w:val="ListBullet"/>
        <w:spacing w:after="30"/>
      </w:pPr>
      <w:r>
        <w:t>主 loss 使用 masked Huber/MAE；不在这一阶段叠加 flow/conformal/risk loss。</w:t>
      </w:r>
    </w:p>
    <w:p>
      <w:pPr>
        <w:pStyle w:val="ListBullet"/>
        <w:spacing w:after="30"/>
      </w:pPr>
      <w:r>
        <w:t>必须报告 P_pc 单独误差、Y_det 总体误差和 extreme/ramp subset 误差。</w:t>
      </w:r>
    </w:p>
    <w:p>
      <w:pPr>
        <w:pStyle w:val="ListBullet"/>
        <w:spacing w:after="30"/>
      </w:pPr>
      <w:r>
        <w:t>若 A_dir 在 extreme subset 没有可重复增益，正确做法是删除/降级，不继续叠模块。</w:t>
      </w:r>
    </w:p>
    <w:p>
      <w:pPr>
        <w:pStyle w:val="Heading1"/>
      </w:pPr>
      <w:r>
        <w:t>7. Direct Conditional Flow Matching 联合误差场景</w:t>
      </w:r>
    </w:p>
    <w:p>
      <w:pPr>
        <w:pStyle w:val="Heading2"/>
      </w:pPr>
      <w:r>
        <w:t>7.1 概率对象：最终预测误差 E</w:t>
      </w:r>
    </w:p>
    <w:p>
      <w:pPr>
        <w:pStyle w:val="FormulaBlock"/>
      </w:pPr>
      <w:r>
        <w:rPr>
          <w:rFonts w:ascii="DejaVu Sans Mono" w:hAnsi="DejaVu Sans Mono"/>
          <w:color w:val="233642"/>
          <w:sz w:val="18"/>
        </w:rPr>
        <w:t>E = Y − Y_det = R − R_hat</w:t>
      </w:r>
    </w:p>
    <w:p>
      <w:r>
        <w:rPr>
          <w:i w:val="0"/>
        </w:rPr>
        <w:t>概率层不重新生成主趋势，而是学习“已经有一个较强中心后，它还会怎样错”。这让生成器聚焦误差结构和多机/多步依赖。</w:t>
      </w:r>
    </w:p>
    <w:p>
      <w:pPr>
        <w:pStyle w:val="Heading2"/>
      </w:pPr>
      <w:r>
        <w:t>7.2 删除 VAE 的原因</w:t>
      </w:r>
    </w:p>
    <w:p>
      <w:r>
        <w:rPr>
          <w:i w:val="0"/>
        </w:rPr>
        <w:t>旧设计把 E∈R^[B,N,H] 映射到 Z∈R^[B,N,H,16]，元素数扩大 16 倍，不构成潜空间压缩；同时 VAE 会引入重构误差和 ramp peak attenuation 风险。SDWPF 主协议 N=134,H=6 时目标场仅 804 维，优先直接 flow 更简洁、更可审计。</w:t>
      </w:r>
    </w:p>
    <w:p>
      <w:pPr>
        <w:pStyle w:val="Heading2"/>
      </w:pPr>
      <w:r>
        <w:t>7.3 Direct CFM</w:t>
      </w:r>
    </w:p>
    <w:p>
      <w:pPr>
        <w:pStyle w:val="FormulaBlock"/>
      </w:pPr>
      <w:r>
        <w:rPr>
          <w:rFonts w:ascii="DejaVu Sans Mono" w:hAnsi="DejaVu Sans Mono"/>
          <w:color w:val="233642"/>
          <w:sz w:val="18"/>
        </w:rPr>
        <w:t>E_0 = (E − μ_E) / σ_E     [μ_E,σ_E are Train-only]</w:t>
      </w:r>
    </w:p>
    <w:p>
      <w:pPr>
        <w:pStyle w:val="FormulaBlock"/>
      </w:pPr>
      <w:r>
        <w:rPr>
          <w:rFonts w:ascii="DejaVu Sans Mono" w:hAnsi="DejaVu Sans Mono"/>
          <w:color w:val="233642"/>
          <w:sz w:val="18"/>
        </w:rPr>
        <w:t>τ ~ U(0,1),   Z ~ N(0,I),   E_τ = (1−τ)E_0 + τZ</w:t>
      </w:r>
    </w:p>
    <w:p>
      <w:pPr>
        <w:pStyle w:val="FormulaBlock"/>
      </w:pPr>
      <w:r>
        <w:rPr>
          <w:rFonts w:ascii="DejaVu Sans Mono" w:hAnsi="DejaVu Sans Mono"/>
          <w:color w:val="233642"/>
          <w:sz w:val="18"/>
        </w:rPr>
        <w:t>L_CFM = E || v_φ(E_τ, τ, C_t) − (Z − E_0) ||_2²</w:t>
      </w:r>
    </w:p>
    <w:p>
      <w:r>
        <w:rPr>
          <w:i w:val="0"/>
        </w:rPr>
        <w:t>C_t 可以包含 H_t、当前/历史 regime features、r_miss、U_epi，以及对应 weather protocol 下真实可用的天气协变量。任何 future event label 不得进入 C_t。</w:t>
      </w:r>
    </w:p>
    <w:p>
      <w:pPr>
        <w:pStyle w:val="Heading2"/>
      </w:pPr>
      <w:r>
        <w:t>7.4 推理与场景重构</w:t>
      </w:r>
    </w:p>
    <w:p>
      <w:pPr>
        <w:pStyle w:val="FormulaBlock"/>
      </w:pPr>
      <w:r>
        <w:rPr>
          <w:rFonts w:ascii="DejaVu Sans Mono" w:hAnsi="DejaVu Sans Mono"/>
          <w:color w:val="233642"/>
          <w:sz w:val="18"/>
        </w:rPr>
        <w:t>E_scen^(m) = ODEsolve(Z^(m); v_φ, C_t),   m=1…M</w:t>
      </w:r>
    </w:p>
    <w:p>
      <w:pPr>
        <w:pStyle w:val="FormulaBlock"/>
      </w:pPr>
      <w:r>
        <w:rPr>
          <w:rFonts w:ascii="DejaVu Sans Mono" w:hAnsi="DejaVu Sans Mono"/>
          <w:color w:val="233642"/>
          <w:sz w:val="18"/>
        </w:rPr>
        <w:t>Y_scen^(m) = clip(Y_det + scale_E(E_scen^(m)), 0, P_rated)</w:t>
      </w:r>
    </w:p>
    <w:p>
      <w:r>
        <w:rPr>
          <w:i w:val="0"/>
        </w:rPr>
        <w:t>K_step=4/8/16/32 和 M=20/50/100/200 都是工程超参数，必须通过 quality-latency / Monte-Carlo convergence 实验确定。</w:t>
      </w:r>
    </w:p>
    <w:p>
      <w:pPr>
        <w:pStyle w:val="Heading2"/>
      </w:pPr>
      <w:r>
        <w:t>7.5 OT-CFM 的唯一合法位置</w:t>
      </w:r>
    </w:p>
    <w:p>
      <w:r>
        <w:rPr>
          <w:i w:val="0"/>
        </w:rPr>
        <w:t>主方法名称统一为 Conditional Flow Matching。只有增强实验显式构造 minibatch optimal-transport/Sinkhorn coupling 后，才允许写 genuine OT-CFM；否则不得以“线性插值路径”冒充 OT。</w:t>
      </w:r>
    </w:p>
    <w:p>
      <w:pPr>
        <w:pStyle w:val="Heading1"/>
      </w:pPr>
      <w:r>
        <w:t>8. 分层 Conformal 校准</w:t>
      </w:r>
    </w:p>
    <w:p>
      <w:pPr>
        <w:pStyle w:val="Heading2"/>
      </w:pPr>
      <w:r>
        <w:t>8.1 Correctness anchor：per-horizon split conformal / CQR</w:t>
      </w:r>
    </w:p>
    <w:p>
      <w:r>
        <w:rPr>
          <w:i w:val="0"/>
        </w:rPr>
        <w:t>CFM 能生成场景，但不会自动保证 90% 区间在 Test 上真的覆盖约 90%。v3.2 首先保留独立 Calib 集，并在每个 forecast horizon h 上校准 scenario-derived interval。</w:t>
      </w:r>
    </w:p>
    <w:p>
      <w:pPr>
        <w:pStyle w:val="FormulaBlock"/>
      </w:pPr>
      <w:r>
        <w:rPr>
          <w:rFonts w:ascii="DejaVu Sans Mono" w:hAnsi="DejaVu Sans Mono"/>
          <w:color w:val="233642"/>
          <w:sz w:val="18"/>
        </w:rPr>
        <w:t>s_j,h = max(q_lo,j,h − Y_j,h,  Y_j,h − q_hi,j,h,  0)</w:t>
      </w:r>
    </w:p>
    <w:p>
      <w:pPr>
        <w:pStyle w:val="FormulaBlock"/>
      </w:pPr>
      <w:r>
        <w:rPr>
          <w:rFonts w:ascii="DejaVu Sans Mono" w:hAnsi="DejaVu Sans Mono"/>
          <w:color w:val="233642"/>
          <w:sz w:val="18"/>
        </w:rPr>
        <w:t>I_conf,h = [q_lo,h − Q_(1−α)(s_·,h),  q_hi,h + Q_(1−α)(s_·,h)]</w:t>
      </w:r>
    </w:p>
    <w:p>
      <w:r>
        <w:rPr>
          <w:i w:val="0"/>
        </w:rPr>
        <w:t>主结果只宣称所报告协议下的 empirical/per-horizon marginal calibration performance；不把它写成任意 OOD、任意条件、所有风机同时的 universal guarantee。</w:t>
      </w:r>
    </w:p>
    <w:p>
      <w:pPr>
        <w:pStyle w:val="Heading2"/>
      </w:pPr>
      <w:r>
        <w:t>8.2 逐级增强，而不是把启发式当定理</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361"/>
            <w:shd w:fill="DCEAF3"/>
            <w:vAlign w:val="center"/>
          </w:tcPr>
          <w:p>
            <w:pPr>
              <w:jc w:val="center"/>
            </w:pPr>
            <w:r>
              <w:rPr>
                <w:b/>
                <w:color w:val="243746"/>
                <w:sz w:val="15"/>
              </w:rPr>
              <w:t>层级</w:t>
            </w:r>
          </w:p>
        </w:tc>
        <w:tc>
          <w:tcPr>
            <w:tcW w:type="dxa" w:w="2551"/>
            <w:shd w:fill="DCEAF3"/>
            <w:vAlign w:val="center"/>
          </w:tcPr>
          <w:p>
            <w:pPr>
              <w:jc w:val="center"/>
            </w:pPr>
            <w:r>
              <w:rPr>
                <w:b/>
                <w:color w:val="243746"/>
                <w:sz w:val="15"/>
              </w:rPr>
              <w:t>方法</w:t>
            </w:r>
          </w:p>
        </w:tc>
        <w:tc>
          <w:tcPr>
            <w:tcW w:type="dxa" w:w="3231"/>
            <w:shd w:fill="DCEAF3"/>
            <w:vAlign w:val="center"/>
          </w:tcPr>
          <w:p>
            <w:pPr>
              <w:jc w:val="center"/>
            </w:pPr>
            <w:r>
              <w:rPr>
                <w:b/>
                <w:color w:val="243746"/>
                <w:sz w:val="15"/>
              </w:rPr>
              <w:t>定位</w:t>
            </w:r>
          </w:p>
        </w:tc>
        <w:tc>
          <w:tcPr>
            <w:tcW w:type="dxa" w:w="2948"/>
            <w:shd w:fill="DCEAF3"/>
            <w:vAlign w:val="center"/>
          </w:tcPr>
          <w:p>
            <w:pPr>
              <w:jc w:val="center"/>
            </w:pPr>
            <w:r>
              <w:rPr>
                <w:b/>
                <w:color w:val="243746"/>
                <w:sz w:val="15"/>
              </w:rPr>
              <w:t>必须报告</w:t>
            </w:r>
          </w:p>
        </w:tc>
      </w:tr>
      <w:tr>
        <w:tc>
          <w:tcPr>
            <w:tcW w:type="dxa" w:w="1361"/>
            <w:vAlign w:val="center"/>
          </w:tcPr>
          <w:p>
            <w:pPr>
              <w:spacing w:before="0" w:after="0" w:line="252" w:lineRule="auto"/>
            </w:pPr>
            <w:r>
              <w:rPr>
                <w:rFonts w:ascii="Noto Sans CJK SC" w:hAnsi="Noto Sans CJK SC"/>
                <w:sz w:val="15"/>
              </w:rPr>
              <w:t>Anchor</w:t>
            </w:r>
          </w:p>
        </w:tc>
        <w:tc>
          <w:tcPr>
            <w:tcW w:type="dxa" w:w="2551"/>
            <w:vAlign w:val="center"/>
          </w:tcPr>
          <w:p>
            <w:pPr>
              <w:spacing w:before="0" w:after="0" w:line="252" w:lineRule="auto"/>
            </w:pPr>
            <w:r>
              <w:rPr>
                <w:rFonts w:ascii="Noto Sans CJK SC" w:hAnsi="Noto Sans CJK SC"/>
                <w:sz w:val="15"/>
              </w:rPr>
              <w:t>Static split conformal / CQR</w:t>
            </w:r>
          </w:p>
        </w:tc>
        <w:tc>
          <w:tcPr>
            <w:tcW w:type="dxa" w:w="3231"/>
            <w:vAlign w:val="center"/>
          </w:tcPr>
          <w:p>
            <w:pPr>
              <w:spacing w:before="0" w:after="0" w:line="252" w:lineRule="auto"/>
            </w:pPr>
            <w:r>
              <w:rPr>
                <w:rFonts w:ascii="Noto Sans CJK SC" w:hAnsi="Noto Sans CJK SC"/>
                <w:sz w:val="15"/>
              </w:rPr>
              <w:t>标准 correctness anchor</w:t>
            </w:r>
          </w:p>
        </w:tc>
        <w:tc>
          <w:tcPr>
            <w:tcW w:type="dxa" w:w="2948"/>
            <w:vAlign w:val="center"/>
          </w:tcPr>
          <w:p>
            <w:pPr>
              <w:spacing w:before="0" w:after="0" w:line="252" w:lineRule="auto"/>
            </w:pPr>
            <w:r>
              <w:rPr>
                <w:rFonts w:ascii="Noto Sans CJK SC" w:hAnsi="Noto Sans CJK SC"/>
                <w:sz w:val="15"/>
              </w:rPr>
              <w:t>PICP/PINAW/Winkler，normal/extreme 分层</w:t>
            </w:r>
          </w:p>
        </w:tc>
      </w:tr>
      <w:tr>
        <w:tc>
          <w:tcPr>
            <w:tcW w:type="dxa" w:w="1361"/>
            <w:vAlign w:val="center"/>
          </w:tcPr>
          <w:p>
            <w:pPr>
              <w:spacing w:before="0" w:after="0" w:line="252" w:lineRule="auto"/>
            </w:pPr>
            <w:r>
              <w:rPr>
                <w:rFonts w:ascii="Noto Sans CJK SC" w:hAnsi="Noto Sans CJK SC"/>
                <w:sz w:val="15"/>
              </w:rPr>
              <w:t>Shift</w:t>
            </w:r>
          </w:p>
        </w:tc>
        <w:tc>
          <w:tcPr>
            <w:tcW w:type="dxa" w:w="2551"/>
            <w:vAlign w:val="center"/>
          </w:tcPr>
          <w:p>
            <w:pPr>
              <w:spacing w:before="0" w:after="0" w:line="252" w:lineRule="auto"/>
            </w:pPr>
            <w:r>
              <w:rPr>
                <w:rFonts w:ascii="Noto Sans CJK SC" w:hAnsi="Noto Sans CJK SC"/>
                <w:sz w:val="15"/>
              </w:rPr>
              <w:t>ACI</w:t>
            </w:r>
          </w:p>
        </w:tc>
        <w:tc>
          <w:tcPr>
            <w:tcW w:type="dxa" w:w="3231"/>
            <w:vAlign w:val="center"/>
          </w:tcPr>
          <w:p>
            <w:pPr>
              <w:spacing w:before="0" w:after="0" w:line="252" w:lineRule="auto"/>
            </w:pPr>
            <w:r>
              <w:rPr>
                <w:rFonts w:ascii="Noto Sans CJK SC" w:hAnsi="Noto Sans CJK SC"/>
                <w:sz w:val="15"/>
              </w:rPr>
              <w:t>标签顺序到达后的 long-run adaptation</w:t>
            </w:r>
          </w:p>
        </w:tc>
        <w:tc>
          <w:tcPr>
            <w:tcW w:type="dxa" w:w="2948"/>
            <w:vAlign w:val="center"/>
          </w:tcPr>
          <w:p>
            <w:pPr>
              <w:spacing w:before="0" w:after="0" w:line="252" w:lineRule="auto"/>
            </w:pPr>
            <w:r>
              <w:rPr>
                <w:rFonts w:ascii="Noto Sans CJK SC" w:hAnsi="Noto Sans CJK SC"/>
                <w:sz w:val="15"/>
              </w:rPr>
              <w:t>rolling coverage/width</w:t>
            </w:r>
          </w:p>
        </w:tc>
      </w:tr>
      <w:tr>
        <w:tc>
          <w:tcPr>
            <w:tcW w:type="dxa" w:w="1361"/>
            <w:vAlign w:val="center"/>
          </w:tcPr>
          <w:p>
            <w:pPr>
              <w:spacing w:before="0" w:after="0" w:line="252" w:lineRule="auto"/>
            </w:pPr>
            <w:r>
              <w:rPr>
                <w:rFonts w:ascii="Noto Sans CJK SC" w:hAnsi="Noto Sans CJK SC"/>
                <w:sz w:val="15"/>
              </w:rPr>
              <w:t>Local</w:t>
            </w:r>
          </w:p>
        </w:tc>
        <w:tc>
          <w:tcPr>
            <w:tcW w:type="dxa" w:w="2551"/>
            <w:vAlign w:val="center"/>
          </w:tcPr>
          <w:p>
            <w:pPr>
              <w:spacing w:before="0" w:after="0" w:line="252" w:lineRule="auto"/>
            </w:pPr>
            <w:r>
              <w:rPr>
                <w:rFonts w:ascii="Noto Sans CJK SC" w:hAnsi="Noto Sans CJK SC"/>
                <w:sz w:val="15"/>
              </w:rPr>
              <w:t>Context-kernel CP</w:t>
            </w:r>
          </w:p>
        </w:tc>
        <w:tc>
          <w:tcPr>
            <w:tcW w:type="dxa" w:w="3231"/>
            <w:vAlign w:val="center"/>
          </w:tcPr>
          <w:p>
            <w:pPr>
              <w:spacing w:before="0" w:after="0" w:line="252" w:lineRule="auto"/>
            </w:pPr>
            <w:r>
              <w:rPr>
                <w:rFonts w:ascii="Noto Sans CJK SC" w:hAnsi="Noto Sans CJK SC"/>
                <w:sz w:val="15"/>
              </w:rPr>
              <w:t>经验局部适配</w:t>
            </w:r>
          </w:p>
        </w:tc>
        <w:tc>
          <w:tcPr>
            <w:tcW w:type="dxa" w:w="2948"/>
            <w:vAlign w:val="center"/>
          </w:tcPr>
          <w:p>
            <w:pPr>
              <w:spacing w:before="0" w:after="0" w:line="252" w:lineRule="auto"/>
            </w:pPr>
            <w:r>
              <w:rPr>
                <w:rFonts w:ascii="Noto Sans CJK SC" w:hAnsi="Noto Sans CJK SC"/>
                <w:sz w:val="15"/>
              </w:rPr>
              <w:t>N_eff、bandwidth sensitivity、subgroup PICP</w:t>
            </w:r>
          </w:p>
        </w:tc>
      </w:tr>
      <w:tr>
        <w:tc>
          <w:tcPr>
            <w:tcW w:type="dxa" w:w="1361"/>
            <w:vAlign w:val="center"/>
          </w:tcPr>
          <w:p>
            <w:pPr>
              <w:spacing w:before="0" w:after="0" w:line="252" w:lineRule="auto"/>
            </w:pPr>
            <w:r>
              <w:rPr>
                <w:rFonts w:ascii="Noto Sans CJK SC" w:hAnsi="Noto Sans CJK SC"/>
                <w:sz w:val="15"/>
              </w:rPr>
              <w:t>Fallback</w:t>
            </w:r>
          </w:p>
        </w:tc>
        <w:tc>
          <w:tcPr>
            <w:tcW w:type="dxa" w:w="2551"/>
            <w:vAlign w:val="center"/>
          </w:tcPr>
          <w:p>
            <w:pPr>
              <w:spacing w:before="0" w:after="0" w:line="252" w:lineRule="auto"/>
            </w:pPr>
            <w:r>
              <w:rPr>
                <w:rFonts w:ascii="Noto Sans CJK SC" w:hAnsi="Noto Sans CJK SC"/>
                <w:sz w:val="15"/>
              </w:rPr>
              <w:t>Worst-subgroup conservative quantile</w:t>
            </w:r>
          </w:p>
        </w:tc>
        <w:tc>
          <w:tcPr>
            <w:tcW w:type="dxa" w:w="3231"/>
            <w:vAlign w:val="center"/>
          </w:tcPr>
          <w:p>
            <w:pPr>
              <w:spacing w:before="0" w:after="0" w:line="252" w:lineRule="auto"/>
            </w:pPr>
            <w:r>
              <w:rPr>
                <w:rFonts w:ascii="Noto Sans CJK SC" w:hAnsi="Noto Sans CJK SC"/>
                <w:sz w:val="15"/>
              </w:rPr>
              <w:t>engineering safety heuristic</w:t>
            </w:r>
          </w:p>
        </w:tc>
        <w:tc>
          <w:tcPr>
            <w:tcW w:type="dxa" w:w="2948"/>
            <w:vAlign w:val="center"/>
          </w:tcPr>
          <w:p>
            <w:pPr>
              <w:spacing w:before="0" w:after="0" w:line="252" w:lineRule="auto"/>
            </w:pPr>
            <w:r>
              <w:rPr>
                <w:rFonts w:ascii="Noto Sans CJK SC" w:hAnsi="Noto Sans CJK SC"/>
                <w:sz w:val="15"/>
              </w:rPr>
              <w:t>trigger rate、width inflation、extreme PICP</w:t>
            </w:r>
          </w:p>
        </w:tc>
      </w:tr>
    </w:tbl>
    <w:p>
      <w:pPr>
        <w:spacing w:after="0"/>
      </w:pPr>
    </w:p>
    <w:tbl>
      <w:tblPr>
        <w:tblW w:type="auto" w:w="0"/>
        <w:jc w:val="center"/>
        <w:tblLook w:firstColumn="1" w:firstRow="1" w:lastColumn="0" w:lastRow="0" w:noHBand="0" w:noVBand="1" w:val="04A0"/>
      </w:tblPr>
      <w:tblGrid>
        <w:gridCol w:w="9978"/>
      </w:tblGrid>
      <w:tr>
        <w:tc>
          <w:tcPr>
            <w:tcW w:type="dxa" w:w="9978"/>
            <w:shd w:fill="EDF4F8"/>
            <w:tcBorders>
              <w:top w:val="single" w:sz="6" w:color="A8BBC7"/>
              <w:bottom w:val="single" w:sz="6" w:color="A8BBC7"/>
              <w:left w:val="single" w:sz="6" w:color="A8BBC7"/>
              <w:right w:val="single" w:sz="6" w:color="A8BBC7"/>
            </w:tcBorders>
          </w:tcPr>
          <w:p>
            <w:pPr>
              <w:spacing w:before="80" w:after="80"/>
            </w:pPr>
            <w:r>
              <w:rPr>
                <w:b/>
                <w:color w:val="243746"/>
                <w:sz w:val="19"/>
              </w:rPr>
              <w:t>不要写 “guaranteed conditional coverage under OOD”。推荐写 “empirical calibration performance under specified chronological/extreme/shift regimes”。</w:t>
            </w:r>
          </w:p>
        </w:tc>
      </w:tr>
    </w:tbl>
    <w:p>
      <w:pPr>
        <w:pStyle w:val="Heading1"/>
      </w:pPr>
      <w:r>
        <w:t>9. 连续 Wind-Side Risk Proxy</w:t>
      </w:r>
    </w:p>
    <w:p>
      <w:pPr>
        <w:pStyle w:val="Heading2"/>
      </w:pPr>
      <w:r>
        <w:t>9.1 风场聚合与 deviation/ramp probability</w:t>
      </w:r>
    </w:p>
    <w:p>
      <w:pPr>
        <w:pStyle w:val="FormulaBlock"/>
      </w:pPr>
      <w:r>
        <w:rPr>
          <w:rFonts w:ascii="DejaVu Sans Mono" w:hAnsi="DejaVu Sans Mono"/>
          <w:color w:val="233642"/>
          <w:sz w:val="18"/>
        </w:rPr>
        <w:t>P_farm^(m)(h) = Σ_i Y_i^(m)(h)</w:t>
      </w:r>
    </w:p>
    <w:p>
      <w:pPr>
        <w:pStyle w:val="FormulaBlock"/>
      </w:pPr>
      <w:r>
        <w:rPr>
          <w:rFonts w:ascii="DejaVu Sans Mono" w:hAnsi="DejaVu Sans Mono"/>
          <w:color w:val="233642"/>
          <w:sz w:val="18"/>
        </w:rPr>
        <w:t>p_ramp^−(h) = (1/M) Σ_m I(P_farm^(m)(h−k) − P_farm^(m)(h) &gt; γ_ramp)</w:t>
      </w:r>
    </w:p>
    <w:p>
      <w:r>
        <w:rPr>
          <w:i w:val="0"/>
        </w:rPr>
        <w:t>γ_ramp 没有世界统一的 20%/10min 标准；主文必须给出文献/运行规则依据，并做 magnitude × duration × rate 多阈值敏感性。future ramp truth 只用于 Brier/AUPRC/reliability 评价。</w:t>
      </w:r>
    </w:p>
    <w:p>
      <w:pPr>
        <w:pStyle w:val="Heading2"/>
      </w:pPr>
      <w:r>
        <w:t>9.2 CVaR proxy loss</w:t>
      </w:r>
    </w:p>
    <w:p>
      <w:pPr>
        <w:pStyle w:val="FormulaBlock"/>
      </w:pPr>
      <w:r>
        <w:rPr>
          <w:rFonts w:ascii="DejaVu Sans Mono" w:hAnsi="DejaVu Sans Mono"/>
          <w:color w:val="233642"/>
          <w:sz w:val="18"/>
        </w:rPr>
        <w:t>L^(m) = max(0, P_ref − P_farm^(m))</w:t>
      </w:r>
    </w:p>
    <w:p>
      <w:pPr>
        <w:pStyle w:val="FormulaBlock"/>
      </w:pPr>
      <w:r>
        <w:rPr>
          <w:rFonts w:ascii="DejaVu Sans Mono" w:hAnsi="DejaVu Sans Mono"/>
          <w:color w:val="233642"/>
          <w:sz w:val="18"/>
        </w:rPr>
        <w:t>CVaR_α = mean{L^(m) | L^(m) ≥ VaR_α}</w:t>
      </w:r>
    </w:p>
    <w:p>
      <w:r>
        <w:rPr>
          <w:i w:val="0"/>
        </w:rPr>
        <w:t>若 P_ref 使用 persistence 或 Y_det 而非真实 dispatch schedule，必须称 proxy loss；Expected Cost 也只能叫 stylized cost，不能写 actual dispatch cost。</w:t>
      </w:r>
    </w:p>
    <w:p>
      <w:pPr>
        <w:pStyle w:val="Heading2"/>
      </w:pPr>
      <w:r>
        <w:t>9.3 OOD、epistemic 与 data-quality diagnostics</w:t>
      </w:r>
    </w:p>
    <w:p>
      <w:pPr>
        <w:pStyle w:val="ListBullet"/>
        <w:spacing w:after="30"/>
      </w:pPr>
      <w:r>
        <w:t>U_epi：Deep Ensemble 成员中心预测分歧，称 epistemic proxy / ensemble disagreement。</w:t>
      </w:r>
    </w:p>
    <w:p>
      <w:pPr>
        <w:pStyle w:val="ListBullet"/>
        <w:spacing w:after="30"/>
      </w:pPr>
      <w:r>
        <w:t>D_OOD：在 H_t 或专门表征空间计算 Mahalanobis/kNN/density score；必须验证其与 error 升高或 coverage 下降的相关性。</w:t>
      </w:r>
    </w:p>
    <w:p>
      <w:pPr>
        <w:pStyle w:val="ListBullet"/>
        <w:spacing w:after="30"/>
      </w:pPr>
      <w:r>
        <w:t>R_data：通过 controlled missing intervention 比较同一样本完整/退化历史下的 ΔRMSE、ΔCRPS、Δcoverage、Δp_ramp。</w:t>
      </w:r>
    </w:p>
    <w:p>
      <w:pPr>
        <w:pStyle w:val="Heading2"/>
      </w:pPr>
      <w:r>
        <w:t>9.4 主输出不学习 Level 1–4</w:t>
      </w:r>
    </w:p>
    <w:p>
      <w:pPr>
        <w:pStyle w:val="FormulaBlock"/>
      </w:pPr>
      <w:r>
        <w:rPr>
          <w:rFonts w:ascii="DejaVu Sans Mono" w:hAnsi="DejaVu Sans Mono"/>
          <w:color w:val="233642"/>
          <w:sz w:val="18"/>
        </w:rPr>
        <w:t>r_t = [p_dev+, p_dev−, p_ramp+, p_ramp−, CVaR, U_epi/D_OOD, R_data]</w:t>
      </w:r>
    </w:p>
    <w:p>
      <w:r>
        <w:rPr>
          <w:i w:val="0"/>
        </w:rPr>
        <w:t>主论文输出连续 risk vector，不训练 proportional-odds/ordinal Level 1–4 头，因为公开数据没有独立操作员风险等级真值。若产品展示需要颜色/等级，可用透明 rule-based demonstration policy，并明确其不是学习到的调度标签。</w:t>
      </w:r>
    </w:p>
    <w:p>
      <w:pPr>
        <w:pStyle w:val="Heading1"/>
      </w:pPr>
      <w:r>
        <w:t>10. 解释、归因与反事实的严格边界</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531"/>
            <w:shd w:fill="DCEAF3"/>
            <w:vAlign w:val="center"/>
          </w:tcPr>
          <w:p>
            <w:pPr>
              <w:jc w:val="center"/>
            </w:pPr>
            <w:r>
              <w:rPr>
                <w:b/>
                <w:color w:val="243746"/>
                <w:sz w:val="15"/>
              </w:rPr>
              <w:t>层级</w:t>
            </w:r>
          </w:p>
        </w:tc>
        <w:tc>
          <w:tcPr>
            <w:tcW w:type="dxa" w:w="3118"/>
            <w:shd w:fill="DCEAF3"/>
            <w:vAlign w:val="center"/>
          </w:tcPr>
          <w:p>
            <w:pPr>
              <w:jc w:val="center"/>
            </w:pPr>
            <w:r>
              <w:rPr>
                <w:b/>
                <w:color w:val="243746"/>
                <w:sz w:val="15"/>
              </w:rPr>
              <w:t>v3.2 方法</w:t>
            </w:r>
          </w:p>
        </w:tc>
        <w:tc>
          <w:tcPr>
            <w:tcW w:type="dxa" w:w="2948"/>
            <w:shd w:fill="DCEAF3"/>
            <w:vAlign w:val="center"/>
          </w:tcPr>
          <w:p>
            <w:pPr>
              <w:jc w:val="center"/>
            </w:pPr>
            <w:r>
              <w:rPr>
                <w:b/>
                <w:color w:val="243746"/>
                <w:sz w:val="15"/>
              </w:rPr>
              <w:t>可以说</w:t>
            </w:r>
          </w:p>
        </w:tc>
        <w:tc>
          <w:tcPr>
            <w:tcW w:type="dxa" w:w="2494"/>
            <w:shd w:fill="DCEAF3"/>
            <w:vAlign w:val="center"/>
          </w:tcPr>
          <w:p>
            <w:pPr>
              <w:jc w:val="center"/>
            </w:pPr>
            <w:r>
              <w:rPr>
                <w:b/>
                <w:color w:val="243746"/>
                <w:sz w:val="15"/>
              </w:rPr>
              <w:t>不能说</w:t>
            </w:r>
          </w:p>
        </w:tc>
      </w:tr>
      <w:tr>
        <w:tc>
          <w:tcPr>
            <w:tcW w:type="dxa" w:w="1531"/>
            <w:vAlign w:val="center"/>
          </w:tcPr>
          <w:p>
            <w:pPr>
              <w:spacing w:before="0" w:after="0" w:line="252" w:lineRule="auto"/>
            </w:pPr>
            <w:r>
              <w:rPr>
                <w:rFonts w:ascii="Noto Sans CJK SC" w:hAnsi="Noto Sans CJK SC"/>
                <w:sz w:val="15"/>
              </w:rPr>
              <w:t>特征级</w:t>
            </w:r>
          </w:p>
        </w:tc>
        <w:tc>
          <w:tcPr>
            <w:tcW w:type="dxa" w:w="3118"/>
            <w:vAlign w:val="center"/>
          </w:tcPr>
          <w:p>
            <w:pPr>
              <w:spacing w:before="0" w:after="0" w:line="252" w:lineRule="auto"/>
            </w:pPr>
            <w:r>
              <w:rPr>
                <w:rFonts w:ascii="Noto Sans CJK SC" w:hAnsi="Noto Sans CJK SC"/>
                <w:sz w:val="15"/>
              </w:rPr>
              <w:t>Integrated Gradients</w:t>
            </w:r>
          </w:p>
        </w:tc>
        <w:tc>
          <w:tcPr>
            <w:tcW w:type="dxa" w:w="2948"/>
            <w:vAlign w:val="center"/>
          </w:tcPr>
          <w:p>
            <w:pPr>
              <w:spacing w:before="0" w:after="0" w:line="252" w:lineRule="auto"/>
            </w:pPr>
            <w:r>
              <w:rPr>
                <w:rFonts w:ascii="Noto Sans CJK SC" w:hAnsi="Noto Sans CJK SC"/>
                <w:sz w:val="15"/>
              </w:rPr>
              <w:t>哪些输入特征对模型输出最敏感/贡献较大</w:t>
            </w:r>
          </w:p>
        </w:tc>
        <w:tc>
          <w:tcPr>
            <w:tcW w:type="dxa" w:w="2494"/>
            <w:vAlign w:val="center"/>
          </w:tcPr>
          <w:p>
            <w:pPr>
              <w:spacing w:before="0" w:after="0" w:line="252" w:lineRule="auto"/>
            </w:pPr>
            <w:r>
              <w:rPr>
                <w:rFonts w:ascii="Noto Sans CJK SC" w:hAnsi="Noto Sans CJK SC"/>
                <w:sz w:val="15"/>
              </w:rPr>
              <w:t>因果变量、真实物理致因</w:t>
            </w:r>
          </w:p>
        </w:tc>
      </w:tr>
      <w:tr>
        <w:tc>
          <w:tcPr>
            <w:tcW w:type="dxa" w:w="1531"/>
            <w:vAlign w:val="center"/>
          </w:tcPr>
          <w:p>
            <w:pPr>
              <w:spacing w:before="0" w:after="0" w:line="252" w:lineRule="auto"/>
            </w:pPr>
            <w:r>
              <w:rPr>
                <w:rFonts w:ascii="Noto Sans CJK SC" w:hAnsi="Noto Sans CJK SC"/>
                <w:sz w:val="15"/>
              </w:rPr>
              <w:t>数据质量级</w:t>
            </w:r>
          </w:p>
        </w:tc>
        <w:tc>
          <w:tcPr>
            <w:tcW w:type="dxa" w:w="3118"/>
            <w:vAlign w:val="center"/>
          </w:tcPr>
          <w:p>
            <w:pPr>
              <w:spacing w:before="0" w:after="0" w:line="252" w:lineRule="auto"/>
            </w:pPr>
            <w:r>
              <w:rPr>
                <w:rFonts w:ascii="Noto Sans CJK SC" w:hAnsi="Noto Sans CJK SC"/>
                <w:sz w:val="15"/>
              </w:rPr>
              <w:t>controlled mask / sensor-repair counterfactual</w:t>
            </w:r>
          </w:p>
        </w:tc>
        <w:tc>
          <w:tcPr>
            <w:tcW w:type="dxa" w:w="2948"/>
            <w:vAlign w:val="center"/>
          </w:tcPr>
          <w:p>
            <w:pPr>
              <w:spacing w:before="0" w:after="0" w:line="252" w:lineRule="auto"/>
            </w:pPr>
            <w:r>
              <w:rPr>
                <w:rFonts w:ascii="Noto Sans CJK SC" w:hAnsi="Noto Sans CJK SC"/>
                <w:sz w:val="15"/>
              </w:rPr>
              <w:t>同一样本在受控缺失干预下输出如何变化</w:t>
            </w:r>
          </w:p>
        </w:tc>
        <w:tc>
          <w:tcPr>
            <w:tcW w:type="dxa" w:w="2494"/>
            <w:vAlign w:val="center"/>
          </w:tcPr>
          <w:p>
            <w:pPr>
              <w:spacing w:before="0" w:after="0" w:line="252" w:lineRule="auto"/>
            </w:pPr>
            <w:r>
              <w:rPr>
                <w:rFonts w:ascii="Noto Sans CJK SC" w:hAnsi="Noto Sans CJK SC"/>
                <w:sz w:val="15"/>
              </w:rPr>
              <w:t>无因果识别时的“缺失导致风险 x%”</w:t>
            </w:r>
          </w:p>
        </w:tc>
      </w:tr>
      <w:tr>
        <w:tc>
          <w:tcPr>
            <w:tcW w:type="dxa" w:w="1531"/>
            <w:vAlign w:val="center"/>
          </w:tcPr>
          <w:p>
            <w:pPr>
              <w:spacing w:before="0" w:after="0" w:line="252" w:lineRule="auto"/>
            </w:pPr>
            <w:r>
              <w:rPr>
                <w:rFonts w:ascii="Noto Sans CJK SC" w:hAnsi="Noto Sans CJK SC"/>
                <w:sz w:val="15"/>
              </w:rPr>
              <w:t>源级</w:t>
            </w:r>
          </w:p>
        </w:tc>
        <w:tc>
          <w:tcPr>
            <w:tcW w:type="dxa" w:w="3118"/>
            <w:vAlign w:val="center"/>
          </w:tcPr>
          <w:p>
            <w:pPr>
              <w:spacing w:before="0" w:after="0" w:line="252" w:lineRule="auto"/>
            </w:pPr>
            <w:r>
              <w:rPr>
                <w:rFonts w:ascii="Noto Sans CJK SC" w:hAnsi="Noto Sans CJK SC"/>
                <w:sz w:val="15"/>
              </w:rPr>
              <w:t>可选 Sobol/global sensitivity（明确随机源与采样）</w:t>
            </w:r>
          </w:p>
        </w:tc>
        <w:tc>
          <w:tcPr>
            <w:tcW w:type="dxa" w:w="2948"/>
            <w:vAlign w:val="center"/>
          </w:tcPr>
          <w:p>
            <w:pPr>
              <w:spacing w:before="0" w:after="0" w:line="252" w:lineRule="auto"/>
            </w:pPr>
            <w:r>
              <w:rPr>
                <w:rFonts w:ascii="Noto Sans CJK SC" w:hAnsi="Noto Sans CJK SC"/>
                <w:sz w:val="15"/>
              </w:rPr>
              <w:t>在定义好的受控采样方案下的 sensitivity index</w:t>
            </w:r>
          </w:p>
        </w:tc>
        <w:tc>
          <w:tcPr>
            <w:tcW w:type="dxa" w:w="2494"/>
            <w:vAlign w:val="center"/>
          </w:tcPr>
          <w:p>
            <w:pPr>
              <w:spacing w:before="0" w:after="0" w:line="252" w:lineRule="auto"/>
            </w:pPr>
            <w:r>
              <w:rPr>
                <w:rFonts w:ascii="Noto Sans CJK SC" w:hAnsi="Noto Sans CJK SC"/>
                <w:sz w:val="15"/>
              </w:rPr>
              <w:t>把 weather/aleatoric/epistemic/missing 写成天然正交、可识别的真实方差占比</w:t>
            </w:r>
          </w:p>
        </w:tc>
      </w:tr>
      <w:tr>
        <w:tc>
          <w:tcPr>
            <w:tcW w:type="dxa" w:w="1531"/>
            <w:vAlign w:val="center"/>
          </w:tcPr>
          <w:p>
            <w:pPr>
              <w:spacing w:before="0" w:after="0" w:line="252" w:lineRule="auto"/>
            </w:pPr>
            <w:r>
              <w:rPr>
                <w:rFonts w:ascii="Noto Sans CJK SC" w:hAnsi="Noto Sans CJK SC"/>
                <w:sz w:val="15"/>
              </w:rPr>
              <w:t>天气源</w:t>
            </w:r>
          </w:p>
        </w:tc>
        <w:tc>
          <w:tcPr>
            <w:tcW w:type="dxa" w:w="3118"/>
            <w:vAlign w:val="center"/>
          </w:tcPr>
          <w:p>
            <w:pPr>
              <w:spacing w:before="0" w:after="0" w:line="252" w:lineRule="auto"/>
            </w:pPr>
            <w:r>
              <w:rPr>
                <w:rFonts w:ascii="Noto Sans CJK SC" w:hAnsi="Noto Sans CJK SC"/>
                <w:sz w:val="15"/>
              </w:rPr>
              <w:t>仅有 ensemble NWP 时 nested sampling</w:t>
            </w:r>
          </w:p>
        </w:tc>
        <w:tc>
          <w:tcPr>
            <w:tcW w:type="dxa" w:w="2948"/>
            <w:vAlign w:val="center"/>
          </w:tcPr>
          <w:p>
            <w:pPr>
              <w:spacing w:before="0" w:after="0" w:line="252" w:lineRule="auto"/>
            </w:pPr>
            <w:r>
              <w:rPr>
                <w:rFonts w:ascii="Noto Sans CJK SC" w:hAnsi="Noto Sans CJK SC"/>
                <w:sz w:val="15"/>
              </w:rPr>
              <w:t>ensemble-weather sensitivity</w:t>
            </w:r>
          </w:p>
        </w:tc>
        <w:tc>
          <w:tcPr>
            <w:tcW w:type="dxa" w:w="2494"/>
            <w:vAlign w:val="center"/>
          </w:tcPr>
          <w:p>
            <w:pPr>
              <w:spacing w:before="0" w:after="0" w:line="252" w:lineRule="auto"/>
            </w:pPr>
            <w:r>
              <w:rPr>
                <w:rFonts w:ascii="Noto Sans CJK SC" w:hAnsi="Noto Sans CJK SC"/>
                <w:sz w:val="15"/>
              </w:rPr>
              <w:t>用单条 ERA5 reanalysis 推断 forecast uncertainty percentage</w:t>
            </w:r>
          </w:p>
        </w:tc>
      </w:tr>
    </w:tbl>
    <w:p>
      <w:pPr>
        <w:spacing w:after="0"/>
      </w:pPr>
    </w:p>
    <w:p>
      <w:pPr>
        <w:pStyle w:val="Heading1"/>
      </w:pPr>
      <w:r>
        <w:t>11. 离线训练与在线推理流程</w:t>
      </w:r>
    </w:p>
    <w:p>
      <w:pPr>
        <w:pStyle w:val="Heading2"/>
      </w:pPr>
      <w:r>
        <w:t>11.1 离线训练顺序</w:t>
      </w:r>
    </w:p>
    <w:p>
      <w:pPr>
        <w:spacing w:after="30"/>
        <w:ind w:left="340" w:hanging="340"/>
      </w:pPr>
      <w:r>
        <w:t>1.  Raw audit：冻结数据版本、哈希、字段字典、时间语义和 weather provenance。</w:t>
      </w:r>
    </w:p>
    <w:p>
      <w:pPr>
        <w:spacing w:after="30"/>
        <w:ind w:left="340" w:hanging="340"/>
      </w:pPr>
      <w:r>
        <w:t>2.  Rigid grid + official mask：生成 X_fill、M、ΔT、reason_code 和 M_y。</w:t>
      </w:r>
    </w:p>
    <w:p>
      <w:pPr>
        <w:spacing w:after="30"/>
        <w:ind w:left="340" w:hanging="340"/>
      </w:pPr>
      <w:r>
        <w:t>3.  按时间划分 Train/Val/Calib/Test；在各 split 内生成窗口。</w:t>
      </w:r>
    </w:p>
    <w:p>
      <w:pPr>
        <w:spacing w:after="30"/>
        <w:ind w:left="340" w:hanging="340"/>
      </w:pPr>
      <w:r>
        <w:t>4.  用 Train 正常有效样本拟合 density-corrected empirical power curve P_pc。</w:t>
      </w:r>
    </w:p>
    <w:p>
      <w:pPr>
        <w:spacing w:after="30"/>
        <w:ind w:left="340" w:hanging="340"/>
      </w:pPr>
      <w:r>
        <w:t>5.  训练 deterministic multi-graph residual backbone，保存 Y_det 与 H_t。</w:t>
      </w:r>
    </w:p>
    <w:p>
      <w:pPr>
        <w:spacing w:after="30"/>
        <w:ind w:left="340" w:hanging="340"/>
      </w:pPr>
      <w:r>
        <w:t>6.  构建 E_true=Y−Y_det，直接训练 CFM；不训练 VAE。</w:t>
      </w:r>
    </w:p>
    <w:p>
      <w:pPr>
        <w:spacing w:after="30"/>
        <w:ind w:left="340" w:hanging="340"/>
      </w:pPr>
      <w:r>
        <w:t>7.  先实现 per-horizon split conformal/CQR；再按需要加 ACI、context、fallback。</w:t>
      </w:r>
    </w:p>
    <w:p>
      <w:pPr>
        <w:spacing w:after="30"/>
        <w:ind w:left="340" w:hanging="340"/>
      </w:pPr>
      <w:r>
        <w:t>8.  在冻结场景上计算 p_ramp/CVaR/OOD/data-quality proxy；真实 event label 仅用于评价。</w:t>
      </w:r>
    </w:p>
    <w:p>
      <w:pPr>
        <w:spacing w:after="30"/>
        <w:ind w:left="340" w:hanging="340"/>
      </w:pPr>
      <w:r>
        <w:t>9.  完成 5 seeds、event bootstrap、efficiency benchmark 后冻结 Test 主结果。</w:t>
      </w:r>
    </w:p>
    <w:p>
      <w:pPr>
        <w:pStyle w:val="Heading2"/>
      </w:pPr>
      <w:r>
        <w:t>11.2 在线推理顺序</w:t>
      </w:r>
    </w:p>
    <w:p>
      <w:pPr>
        <w:spacing w:after="30"/>
        <w:ind w:left="340" w:hanging="340"/>
      </w:pPr>
      <w:r>
        <w:t>1.  读取过去 L 个时间步的 X_fill/M/ΔT；全部 timestamp ≤ forecast origin t。</w:t>
      </w:r>
    </w:p>
    <w:p>
      <w:pPr>
        <w:spacing w:after="30"/>
        <w:ind w:left="340" w:hanging="340"/>
      </w:pPr>
      <w:r>
        <w:t>2.  按当前 weather protocol 构造 P_pc；History-only 主协议不读取 future ERA5。</w:t>
      </w:r>
    </w:p>
    <w:p>
      <w:pPr>
        <w:spacing w:after="30"/>
        <w:ind w:left="340" w:hanging="340"/>
      </w:pPr>
      <w:r>
        <w:t>3.  构建 A_geo/A_corr/A_dir/A_adp，得到 R_hat、H_t 和 Y_det。</w:t>
      </w:r>
    </w:p>
    <w:p>
      <w:pPr>
        <w:spacing w:after="30"/>
        <w:ind w:left="340" w:hanging="340"/>
      </w:pPr>
      <w:r>
        <w:t>4.  固定条件 C_t，从多个高斯噪声出发用 Direct CFM 生成 E_scen。</w:t>
      </w:r>
    </w:p>
    <w:p>
      <w:pPr>
        <w:spacing w:after="30"/>
        <w:ind w:left="340" w:hanging="340"/>
      </w:pPr>
      <w:r>
        <w:t>5.  重构 Y_scen 并提取 scenario-derived quantiles；用冻结的 conformalizer 输出 interval。</w:t>
      </w:r>
    </w:p>
    <w:p>
      <w:pPr>
        <w:spacing w:after="30"/>
        <w:ind w:left="340" w:hanging="340"/>
      </w:pPr>
      <w:r>
        <w:t>6.  聚合到 farm level，计算 p_ramp/p_dev/CVaR 及可选 OOD/data-quality diagnostics。</w:t>
      </w:r>
    </w:p>
    <w:p>
      <w:pPr>
        <w:spacing w:after="30"/>
        <w:ind w:left="340" w:hanging="340"/>
      </w:pPr>
      <w:r>
        <w:t>7.  输出连续 risk vector、解释和 runtime 元数据；不输出学习式 Level 真值。</w:t>
      </w:r>
    </w:p>
    <w:p>
      <w:pPr>
        <w:pStyle w:val="Heading1"/>
      </w:pPr>
      <w:r>
        <w:t>12. 实验设计、基线与统计协议</w:t>
      </w:r>
    </w:p>
    <w:p>
      <w:pPr>
        <w:pStyle w:val="Heading2"/>
      </w:pPr>
      <w:r>
        <w:t>12.1 基线矩阵</w:t>
      </w:r>
    </w:p>
    <w:tbl>
      <w:tblPr>
        <w:tblStyle w:val="TableGrid"/>
        <w:tblW w:type="auto" w:w="0"/>
        <w:jc w:val="center"/>
        <w:tblLook w:firstColumn="1" w:firstRow="1" w:lastColumn="0" w:lastRow="0" w:noHBand="0" w:noVBand="1" w:val="04A0"/>
      </w:tblPr>
      <w:tblGrid>
        <w:gridCol w:w="4989"/>
        <w:gridCol w:w="4989"/>
      </w:tblGrid>
      <w:tr>
        <w:tc>
          <w:tcPr>
            <w:tcW w:type="dxa" w:w="2381"/>
            <w:shd w:fill="DCEAF3"/>
            <w:vAlign w:val="center"/>
          </w:tcPr>
          <w:p>
            <w:pPr>
              <w:jc w:val="center"/>
            </w:pPr>
            <w:r>
              <w:rPr>
                <w:b/>
                <w:color w:val="243746"/>
                <w:sz w:val="16"/>
              </w:rPr>
              <w:t>类别</w:t>
            </w:r>
          </w:p>
        </w:tc>
        <w:tc>
          <w:tcPr>
            <w:tcW w:type="dxa" w:w="7710"/>
            <w:shd w:fill="DCEAF3"/>
            <w:vAlign w:val="center"/>
          </w:tcPr>
          <w:p>
            <w:pPr>
              <w:jc w:val="center"/>
            </w:pPr>
            <w:r>
              <w:rPr>
                <w:b/>
                <w:color w:val="243746"/>
                <w:sz w:val="16"/>
              </w:rPr>
              <w:t>基线</w:t>
            </w:r>
          </w:p>
        </w:tc>
      </w:tr>
      <w:tr>
        <w:tc>
          <w:tcPr>
            <w:tcW w:type="dxa" w:w="2381"/>
            <w:vAlign w:val="center"/>
          </w:tcPr>
          <w:p>
            <w:pPr>
              <w:spacing w:before="0" w:after="0" w:line="252" w:lineRule="auto"/>
            </w:pPr>
            <w:r>
              <w:rPr>
                <w:rFonts w:ascii="Noto Sans CJK SC" w:hAnsi="Noto Sans CJK SC"/>
                <w:sz w:val="16"/>
              </w:rPr>
              <w:t>Deterministic</w:t>
            </w:r>
          </w:p>
        </w:tc>
        <w:tc>
          <w:tcPr>
            <w:tcW w:type="dxa" w:w="7710"/>
            <w:vAlign w:val="center"/>
          </w:tcPr>
          <w:p>
            <w:pPr>
              <w:spacing w:before="0" w:after="0" w:line="252" w:lineRule="auto"/>
            </w:pPr>
            <w:r>
              <w:rPr>
                <w:rFonts w:ascii="Noto Sans CJK SC" w:hAnsi="Noto Sans CJK SC"/>
                <w:sz w:val="16"/>
              </w:rPr>
              <w:t>Persistence；XGBoost/LightGBM（可选）；GRU/TCN；STGCN；Graph WaveNet；AGCRN；原 IMFGCN</w:t>
            </w:r>
          </w:p>
        </w:tc>
      </w:tr>
      <w:tr>
        <w:tc>
          <w:tcPr>
            <w:tcW w:type="dxa" w:w="2381"/>
            <w:vAlign w:val="center"/>
          </w:tcPr>
          <w:p>
            <w:pPr>
              <w:spacing w:before="0" w:after="0" w:line="252" w:lineRule="auto"/>
            </w:pPr>
            <w:r>
              <w:rPr>
                <w:rFonts w:ascii="Noto Sans CJK SC" w:hAnsi="Noto Sans CJK SC"/>
                <w:sz w:val="16"/>
              </w:rPr>
              <w:t>Marginal probabilistic</w:t>
            </w:r>
          </w:p>
        </w:tc>
        <w:tc>
          <w:tcPr>
            <w:tcW w:type="dxa" w:w="7710"/>
            <w:vAlign w:val="center"/>
          </w:tcPr>
          <w:p>
            <w:pPr>
              <w:spacing w:before="0" w:after="0" w:line="252" w:lineRule="auto"/>
            </w:pPr>
            <w:r>
              <w:rPr>
                <w:rFonts w:ascii="Noto Sans CJK SC" w:hAnsi="Noto Sans CJK SC"/>
                <w:sz w:val="16"/>
              </w:rPr>
              <w:t>Gaussian/Student-t NLL；Quantile Regression；CQR；Deep Ensemble</w:t>
            </w:r>
          </w:p>
        </w:tc>
      </w:tr>
      <w:tr>
        <w:tc>
          <w:tcPr>
            <w:tcW w:type="dxa" w:w="2381"/>
            <w:vAlign w:val="center"/>
          </w:tcPr>
          <w:p>
            <w:pPr>
              <w:spacing w:before="0" w:after="0" w:line="252" w:lineRule="auto"/>
            </w:pPr>
            <w:r>
              <w:rPr>
                <w:rFonts w:ascii="Noto Sans CJK SC" w:hAnsi="Noto Sans CJK SC"/>
                <w:sz w:val="16"/>
              </w:rPr>
              <w:t>Joint scenario</w:t>
            </w:r>
          </w:p>
        </w:tc>
        <w:tc>
          <w:tcPr>
            <w:tcW w:type="dxa" w:w="7710"/>
            <w:vAlign w:val="center"/>
          </w:tcPr>
          <w:p>
            <w:pPr>
              <w:spacing w:before="0" w:after="0" w:line="252" w:lineRule="auto"/>
            </w:pPr>
            <w:r>
              <w:rPr>
                <w:rFonts w:ascii="Noto Sans CJK SC" w:hAnsi="Noto Sans CJK SC"/>
                <w:sz w:val="16"/>
              </w:rPr>
              <w:t>Gaussian Copula；CVAE；Normalizing Flow；Diffusion/DDIM；Direct CFM</w:t>
            </w:r>
          </w:p>
        </w:tc>
      </w:tr>
      <w:tr>
        <w:tc>
          <w:tcPr>
            <w:tcW w:type="dxa" w:w="2381"/>
            <w:vAlign w:val="center"/>
          </w:tcPr>
          <w:p>
            <w:pPr>
              <w:spacing w:before="0" w:after="0" w:line="252" w:lineRule="auto"/>
            </w:pPr>
            <w:r>
              <w:rPr>
                <w:rFonts w:ascii="Noto Sans CJK SC" w:hAnsi="Noto Sans CJK SC"/>
                <w:sz w:val="16"/>
              </w:rPr>
              <w:t>Calibration</w:t>
            </w:r>
          </w:p>
        </w:tc>
        <w:tc>
          <w:tcPr>
            <w:tcW w:type="dxa" w:w="7710"/>
            <w:vAlign w:val="center"/>
          </w:tcPr>
          <w:p>
            <w:pPr>
              <w:spacing w:before="0" w:after="0" w:line="252" w:lineRule="auto"/>
            </w:pPr>
            <w:r>
              <w:rPr>
                <w:rFonts w:ascii="Noto Sans CJK SC" w:hAnsi="Noto Sans CJK SC"/>
                <w:sz w:val="16"/>
              </w:rPr>
              <w:t>Static split；CQR；ACI；context kernel；context+fallback</w:t>
            </w:r>
          </w:p>
        </w:tc>
      </w:tr>
      <w:tr>
        <w:tc>
          <w:tcPr>
            <w:tcW w:type="dxa" w:w="2381"/>
            <w:vAlign w:val="center"/>
          </w:tcPr>
          <w:p>
            <w:pPr>
              <w:spacing w:before="0" w:after="0" w:line="252" w:lineRule="auto"/>
            </w:pPr>
            <w:r>
              <w:rPr>
                <w:rFonts w:ascii="Noto Sans CJK SC" w:hAnsi="Noto Sans CJK SC"/>
                <w:sz w:val="16"/>
              </w:rPr>
              <w:t>Missing</w:t>
            </w:r>
          </w:p>
        </w:tc>
        <w:tc>
          <w:tcPr>
            <w:tcW w:type="dxa" w:w="7710"/>
            <w:vAlign w:val="center"/>
          </w:tcPr>
          <w:p>
            <w:pPr>
              <w:spacing w:before="0" w:after="0" w:line="252" w:lineRule="auto"/>
            </w:pPr>
            <w:r>
              <w:rPr>
                <w:rFonts w:ascii="Noto Sans CJK SC" w:hAnsi="Noto Sans CJK SC"/>
                <w:sz w:val="16"/>
              </w:rPr>
              <w:t>Forward fill；linear interpolation；X-only；X+M；X+M+ΔT；GRU-D-style</w:t>
            </w:r>
          </w:p>
        </w:tc>
      </w:tr>
    </w:tbl>
    <w:p>
      <w:pPr>
        <w:spacing w:after="0"/>
      </w:pPr>
    </w:p>
    <w:p>
      <w:pPr>
        <w:pStyle w:val="Heading2"/>
      </w:pPr>
      <w:r>
        <w:t>12.2 指标体系</w:t>
      </w:r>
    </w:p>
    <w:tbl>
      <w:tblPr>
        <w:tblStyle w:val="TableGrid"/>
        <w:tblW w:type="auto" w:w="0"/>
        <w:jc w:val="center"/>
        <w:tblLook w:firstColumn="1" w:firstRow="1" w:lastColumn="0" w:lastRow="0" w:noHBand="0" w:noVBand="1" w:val="04A0"/>
      </w:tblPr>
      <w:tblGrid>
        <w:gridCol w:w="3326"/>
        <w:gridCol w:w="3326"/>
        <w:gridCol w:w="3326"/>
      </w:tblGrid>
      <w:tr>
        <w:tc>
          <w:tcPr>
            <w:tcW w:type="dxa" w:w="2154"/>
            <w:shd w:fill="DCEAF3"/>
            <w:vAlign w:val="center"/>
          </w:tcPr>
          <w:p>
            <w:pPr>
              <w:jc w:val="center"/>
            </w:pPr>
            <w:r>
              <w:rPr>
                <w:b/>
                <w:color w:val="243746"/>
                <w:sz w:val="16"/>
              </w:rPr>
              <w:t>维度</w:t>
            </w:r>
          </w:p>
        </w:tc>
        <w:tc>
          <w:tcPr>
            <w:tcW w:type="dxa" w:w="4365"/>
            <w:shd w:fill="DCEAF3"/>
            <w:vAlign w:val="center"/>
          </w:tcPr>
          <w:p>
            <w:pPr>
              <w:jc w:val="center"/>
            </w:pPr>
            <w:r>
              <w:rPr>
                <w:b/>
                <w:color w:val="243746"/>
                <w:sz w:val="16"/>
              </w:rPr>
              <w:t>主指标</w:t>
            </w:r>
          </w:p>
        </w:tc>
        <w:tc>
          <w:tcPr>
            <w:tcW w:type="dxa" w:w="3572"/>
            <w:shd w:fill="DCEAF3"/>
            <w:vAlign w:val="center"/>
          </w:tcPr>
          <w:p>
            <w:pPr>
              <w:jc w:val="center"/>
            </w:pPr>
            <w:r>
              <w:rPr>
                <w:b/>
                <w:color w:val="243746"/>
                <w:sz w:val="16"/>
              </w:rPr>
              <w:t>目的</w:t>
            </w:r>
          </w:p>
        </w:tc>
      </w:tr>
      <w:tr>
        <w:tc>
          <w:tcPr>
            <w:tcW w:type="dxa" w:w="2154"/>
            <w:vAlign w:val="center"/>
          </w:tcPr>
          <w:p>
            <w:pPr>
              <w:spacing w:before="0" w:after="0" w:line="252" w:lineRule="auto"/>
            </w:pPr>
            <w:r>
              <w:rPr>
                <w:rFonts w:ascii="Noto Sans CJK SC" w:hAnsi="Noto Sans CJK SC"/>
                <w:sz w:val="16"/>
              </w:rPr>
              <w:t>Point</w:t>
            </w:r>
          </w:p>
        </w:tc>
        <w:tc>
          <w:tcPr>
            <w:tcW w:type="dxa" w:w="4365"/>
            <w:vAlign w:val="center"/>
          </w:tcPr>
          <w:p>
            <w:pPr>
              <w:spacing w:before="0" w:after="0" w:line="252" w:lineRule="auto"/>
            </w:pPr>
            <w:r>
              <w:rPr>
                <w:rFonts w:ascii="Noto Sans CJK SC" w:hAnsi="Noto Sans CJK SC"/>
                <w:sz w:val="16"/>
              </w:rPr>
              <w:t>RMSE, MAE, R²/NSE</w:t>
            </w:r>
          </w:p>
        </w:tc>
        <w:tc>
          <w:tcPr>
            <w:tcW w:type="dxa" w:w="3572"/>
            <w:vAlign w:val="center"/>
          </w:tcPr>
          <w:p>
            <w:pPr>
              <w:spacing w:before="0" w:after="0" w:line="252" w:lineRule="auto"/>
            </w:pPr>
            <w:r>
              <w:rPr>
                <w:rFonts w:ascii="Noto Sans CJK SC" w:hAnsi="Noto Sans CJK SC"/>
                <w:sz w:val="16"/>
              </w:rPr>
              <w:t>中心精度</w:t>
            </w:r>
          </w:p>
        </w:tc>
      </w:tr>
      <w:tr>
        <w:tc>
          <w:tcPr>
            <w:tcW w:type="dxa" w:w="2154"/>
            <w:vAlign w:val="center"/>
          </w:tcPr>
          <w:p>
            <w:pPr>
              <w:spacing w:before="0" w:after="0" w:line="252" w:lineRule="auto"/>
            </w:pPr>
            <w:r>
              <w:rPr>
                <w:rFonts w:ascii="Noto Sans CJK SC" w:hAnsi="Noto Sans CJK SC"/>
                <w:sz w:val="16"/>
              </w:rPr>
              <w:t>Marginal probability</w:t>
            </w:r>
          </w:p>
        </w:tc>
        <w:tc>
          <w:tcPr>
            <w:tcW w:type="dxa" w:w="4365"/>
            <w:vAlign w:val="center"/>
          </w:tcPr>
          <w:p>
            <w:pPr>
              <w:spacing w:before="0" w:after="0" w:line="252" w:lineRule="auto"/>
            </w:pPr>
            <w:r>
              <w:rPr>
                <w:rFonts w:ascii="Noto Sans CJK SC" w:hAnsi="Noto Sans CJK SC"/>
                <w:sz w:val="16"/>
              </w:rPr>
              <w:t>CRPS, Pinball, PICP, PINAW, Winkler</w:t>
            </w:r>
          </w:p>
        </w:tc>
        <w:tc>
          <w:tcPr>
            <w:tcW w:type="dxa" w:w="3572"/>
            <w:vAlign w:val="center"/>
          </w:tcPr>
          <w:p>
            <w:pPr>
              <w:spacing w:before="0" w:after="0" w:line="252" w:lineRule="auto"/>
            </w:pPr>
            <w:r>
              <w:rPr>
                <w:rFonts w:ascii="Noto Sans CJK SC" w:hAnsi="Noto Sans CJK SC"/>
                <w:sz w:val="16"/>
              </w:rPr>
              <w:t>边际质量、覆盖与宽度</w:t>
            </w:r>
          </w:p>
        </w:tc>
      </w:tr>
      <w:tr>
        <w:tc>
          <w:tcPr>
            <w:tcW w:type="dxa" w:w="2154"/>
            <w:vAlign w:val="center"/>
          </w:tcPr>
          <w:p>
            <w:pPr>
              <w:spacing w:before="0" w:after="0" w:line="252" w:lineRule="auto"/>
            </w:pPr>
            <w:r>
              <w:rPr>
                <w:rFonts w:ascii="Noto Sans CJK SC" w:hAnsi="Noto Sans CJK SC"/>
                <w:sz w:val="16"/>
              </w:rPr>
              <w:t>Joint distribution</w:t>
            </w:r>
          </w:p>
        </w:tc>
        <w:tc>
          <w:tcPr>
            <w:tcW w:type="dxa" w:w="4365"/>
            <w:vAlign w:val="center"/>
          </w:tcPr>
          <w:p>
            <w:pPr>
              <w:spacing w:before="0" w:after="0" w:line="252" w:lineRule="auto"/>
            </w:pPr>
            <w:r>
              <w:rPr>
                <w:rFonts w:ascii="Noto Sans CJK SC" w:hAnsi="Noto Sans CJK SC"/>
                <w:sz w:val="16"/>
              </w:rPr>
              <w:t>Energy Score, Variogram Score, temporal/pairwise correlation diagnostics</w:t>
            </w:r>
          </w:p>
        </w:tc>
        <w:tc>
          <w:tcPr>
            <w:tcW w:type="dxa" w:w="3572"/>
            <w:vAlign w:val="center"/>
          </w:tcPr>
          <w:p>
            <w:pPr>
              <w:spacing w:before="0" w:after="0" w:line="252" w:lineRule="auto"/>
            </w:pPr>
            <w:r>
              <w:rPr>
                <w:rFonts w:ascii="Noto Sans CJK SC" w:hAnsi="Noto Sans CJK SC"/>
                <w:sz w:val="16"/>
              </w:rPr>
              <w:t>联合依赖</w:t>
            </w:r>
          </w:p>
        </w:tc>
      </w:tr>
      <w:tr>
        <w:tc>
          <w:tcPr>
            <w:tcW w:type="dxa" w:w="2154"/>
            <w:vAlign w:val="center"/>
          </w:tcPr>
          <w:p>
            <w:pPr>
              <w:spacing w:before="0" w:after="0" w:line="252" w:lineRule="auto"/>
            </w:pPr>
            <w:r>
              <w:rPr>
                <w:rFonts w:ascii="Noto Sans CJK SC" w:hAnsi="Noto Sans CJK SC"/>
                <w:sz w:val="16"/>
              </w:rPr>
              <w:t>Extreme/ramp</w:t>
            </w:r>
          </w:p>
        </w:tc>
        <w:tc>
          <w:tcPr>
            <w:tcW w:type="dxa" w:w="4365"/>
            <w:vAlign w:val="center"/>
          </w:tcPr>
          <w:p>
            <w:pPr>
              <w:spacing w:before="0" w:after="0" w:line="252" w:lineRule="auto"/>
            </w:pPr>
            <w:r>
              <w:rPr>
                <w:rFonts w:ascii="Noto Sans CJK SC" w:hAnsi="Noto Sans CJK SC"/>
                <w:sz w:val="16"/>
              </w:rPr>
              <w:t>Brier/BSS, AUPRC, Event-F1, FNR, Lead Time, Ramp-KS</w:t>
            </w:r>
          </w:p>
        </w:tc>
        <w:tc>
          <w:tcPr>
            <w:tcW w:type="dxa" w:w="3572"/>
            <w:vAlign w:val="center"/>
          </w:tcPr>
          <w:p>
            <w:pPr>
              <w:spacing w:before="0" w:after="0" w:line="252" w:lineRule="auto"/>
            </w:pPr>
            <w:r>
              <w:rPr>
                <w:rFonts w:ascii="Noto Sans CJK SC" w:hAnsi="Noto Sans CJK SC"/>
                <w:sz w:val="16"/>
              </w:rPr>
              <w:t>事件概率与极端形状</w:t>
            </w:r>
          </w:p>
        </w:tc>
      </w:tr>
      <w:tr>
        <w:tc>
          <w:tcPr>
            <w:tcW w:type="dxa" w:w="2154"/>
            <w:vAlign w:val="center"/>
          </w:tcPr>
          <w:p>
            <w:pPr>
              <w:spacing w:before="0" w:after="0" w:line="252" w:lineRule="auto"/>
            </w:pPr>
            <w:r>
              <w:rPr>
                <w:rFonts w:ascii="Noto Sans CJK SC" w:hAnsi="Noto Sans CJK SC"/>
                <w:sz w:val="16"/>
              </w:rPr>
              <w:t>Efficiency</w:t>
            </w:r>
          </w:p>
        </w:tc>
        <w:tc>
          <w:tcPr>
            <w:tcW w:type="dxa" w:w="4365"/>
            <w:vAlign w:val="center"/>
          </w:tcPr>
          <w:p>
            <w:pPr>
              <w:spacing w:before="0" w:after="0" w:line="252" w:lineRule="auto"/>
            </w:pPr>
            <w:r>
              <w:rPr>
                <w:rFonts w:ascii="Noto Sans CJK SC" w:hAnsi="Noto Sans CJK SC"/>
                <w:sz w:val="16"/>
              </w:rPr>
              <w:t>Params, peak VRAM, P50/P95/P99 latency, throughput, ODE steps, M_scen</w:t>
            </w:r>
          </w:p>
        </w:tc>
        <w:tc>
          <w:tcPr>
            <w:tcW w:type="dxa" w:w="3572"/>
            <w:vAlign w:val="center"/>
          </w:tcPr>
          <w:p>
            <w:pPr>
              <w:spacing w:before="0" w:after="0" w:line="252" w:lineRule="auto"/>
            </w:pPr>
            <w:r>
              <w:rPr>
                <w:rFonts w:ascii="Noto Sans CJK SC" w:hAnsi="Noto Sans CJK SC"/>
                <w:sz w:val="16"/>
              </w:rPr>
              <w:t>在线代价与 Pareto</w:t>
            </w:r>
          </w:p>
        </w:tc>
      </w:tr>
    </w:tbl>
    <w:p>
      <w:pPr>
        <w:spacing w:after="0"/>
      </w:pPr>
    </w:p>
    <w:p>
      <w:pPr>
        <w:pStyle w:val="Heading2"/>
      </w:pPr>
      <w:r>
        <w:t>12.3 v3.2 核心消融</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794"/>
            <w:shd w:fill="DCEAF3"/>
            <w:vAlign w:val="center"/>
          </w:tcPr>
          <w:p>
            <w:pPr>
              <w:jc w:val="center"/>
            </w:pPr>
            <w:r>
              <w:rPr>
                <w:b/>
                <w:color w:val="243746"/>
                <w:sz w:val="14"/>
              </w:rPr>
              <w:t>ID</w:t>
            </w:r>
          </w:p>
        </w:tc>
        <w:tc>
          <w:tcPr>
            <w:tcW w:type="dxa" w:w="3061"/>
            <w:shd w:fill="DCEAF3"/>
            <w:vAlign w:val="center"/>
          </w:tcPr>
          <w:p>
            <w:pPr>
              <w:jc w:val="center"/>
            </w:pPr>
            <w:r>
              <w:rPr>
                <w:b/>
                <w:color w:val="243746"/>
                <w:sz w:val="14"/>
              </w:rPr>
              <w:t>消融</w:t>
            </w:r>
          </w:p>
        </w:tc>
        <w:tc>
          <w:tcPr>
            <w:tcW w:type="dxa" w:w="3402"/>
            <w:shd w:fill="DCEAF3"/>
            <w:vAlign w:val="center"/>
          </w:tcPr>
          <w:p>
            <w:pPr>
              <w:jc w:val="center"/>
            </w:pPr>
            <w:r>
              <w:rPr>
                <w:b/>
                <w:color w:val="243746"/>
                <w:sz w:val="14"/>
              </w:rPr>
              <w:t>验证问题</w:t>
            </w:r>
          </w:p>
        </w:tc>
        <w:tc>
          <w:tcPr>
            <w:tcW w:type="dxa" w:w="2835"/>
            <w:shd w:fill="DCEAF3"/>
            <w:vAlign w:val="center"/>
          </w:tcPr>
          <w:p>
            <w:pPr>
              <w:jc w:val="center"/>
            </w:pPr>
            <w:r>
              <w:rPr>
                <w:b/>
                <w:color w:val="243746"/>
                <w:sz w:val="14"/>
              </w:rPr>
              <w:t>主指标</w:t>
            </w:r>
          </w:p>
        </w:tc>
      </w:tr>
      <w:tr>
        <w:tc>
          <w:tcPr>
            <w:tcW w:type="dxa" w:w="794"/>
            <w:vAlign w:val="center"/>
          </w:tcPr>
          <w:p>
            <w:pPr>
              <w:spacing w:before="0" w:after="0" w:line="252" w:lineRule="auto"/>
            </w:pPr>
            <w:r>
              <w:rPr>
                <w:rFonts w:ascii="Noto Sans CJK SC" w:hAnsi="Noto Sans CJK SC"/>
                <w:sz w:val="14"/>
              </w:rPr>
              <w:t>A0</w:t>
            </w:r>
          </w:p>
        </w:tc>
        <w:tc>
          <w:tcPr>
            <w:tcW w:type="dxa" w:w="3061"/>
            <w:vAlign w:val="center"/>
          </w:tcPr>
          <w:p>
            <w:pPr>
              <w:spacing w:before="0" w:after="0" w:line="252" w:lineRule="auto"/>
            </w:pPr>
            <w:r>
              <w:rPr>
                <w:rFonts w:ascii="Noto Sans CJK SC" w:hAnsi="Noto Sans CJK SC"/>
                <w:sz w:val="14"/>
              </w:rPr>
              <w:t>Direct power vs P_pc+residual</w:t>
            </w:r>
          </w:p>
        </w:tc>
        <w:tc>
          <w:tcPr>
            <w:tcW w:type="dxa" w:w="3402"/>
            <w:vAlign w:val="center"/>
          </w:tcPr>
          <w:p>
            <w:pPr>
              <w:spacing w:before="0" w:after="0" w:line="252" w:lineRule="auto"/>
            </w:pPr>
            <w:r>
              <w:rPr>
                <w:rFonts w:ascii="Noto Sans CJK SC" w:hAnsi="Noto Sans CJK SC"/>
                <w:sz w:val="14"/>
              </w:rPr>
              <w:t>残差范式是否必要</w:t>
            </w:r>
          </w:p>
        </w:tc>
        <w:tc>
          <w:tcPr>
            <w:tcW w:type="dxa" w:w="2835"/>
            <w:vAlign w:val="center"/>
          </w:tcPr>
          <w:p>
            <w:pPr>
              <w:spacing w:before="0" w:after="0" w:line="252" w:lineRule="auto"/>
            </w:pPr>
            <w:r>
              <w:rPr>
                <w:rFonts w:ascii="Noto Sans CJK SC" w:hAnsi="Noto Sans CJK SC"/>
                <w:sz w:val="14"/>
              </w:rPr>
              <w:t>extreme RMSE/MAE, Ramp-F1</w:t>
            </w:r>
          </w:p>
        </w:tc>
      </w:tr>
      <w:tr>
        <w:tc>
          <w:tcPr>
            <w:tcW w:type="dxa" w:w="794"/>
            <w:vAlign w:val="center"/>
          </w:tcPr>
          <w:p>
            <w:pPr>
              <w:spacing w:before="0" w:after="0" w:line="252" w:lineRule="auto"/>
            </w:pPr>
            <w:r>
              <w:rPr>
                <w:rFonts w:ascii="Noto Sans CJK SC" w:hAnsi="Noto Sans CJK SC"/>
                <w:sz w:val="14"/>
              </w:rPr>
              <w:t>A1</w:t>
            </w:r>
          </w:p>
        </w:tc>
        <w:tc>
          <w:tcPr>
            <w:tcW w:type="dxa" w:w="3061"/>
            <w:vAlign w:val="center"/>
          </w:tcPr>
          <w:p>
            <w:pPr>
              <w:spacing w:before="0" w:after="0" w:line="252" w:lineRule="auto"/>
            </w:pPr>
            <w:r>
              <w:rPr>
                <w:rFonts w:ascii="Noto Sans CJK SC" w:hAnsi="Noto Sans CJK SC"/>
                <w:sz w:val="14"/>
              </w:rPr>
              <w:t>density correction off</w:t>
            </w:r>
          </w:p>
        </w:tc>
        <w:tc>
          <w:tcPr>
            <w:tcW w:type="dxa" w:w="3402"/>
            <w:vAlign w:val="center"/>
          </w:tcPr>
          <w:p>
            <w:pPr>
              <w:spacing w:before="0" w:after="0" w:line="252" w:lineRule="auto"/>
            </w:pPr>
            <w:r>
              <w:rPr>
                <w:rFonts w:ascii="Noto Sans CJK SC" w:hAnsi="Noto Sans CJK SC"/>
                <w:sz w:val="14"/>
              </w:rPr>
              <w:t>v_eq 是否有益</w:t>
            </w:r>
          </w:p>
        </w:tc>
        <w:tc>
          <w:tcPr>
            <w:tcW w:type="dxa" w:w="2835"/>
            <w:vAlign w:val="center"/>
          </w:tcPr>
          <w:p>
            <w:pPr>
              <w:spacing w:before="0" w:after="0" w:line="252" w:lineRule="auto"/>
            </w:pPr>
            <w:r>
              <w:rPr>
                <w:rFonts w:ascii="Noto Sans CJK SC" w:hAnsi="Noto Sans CJK SC"/>
                <w:sz w:val="14"/>
              </w:rPr>
              <w:t>power-curve error, seasonal/extreme RMSE</w:t>
            </w:r>
          </w:p>
        </w:tc>
      </w:tr>
      <w:tr>
        <w:tc>
          <w:tcPr>
            <w:tcW w:type="dxa" w:w="794"/>
            <w:vAlign w:val="center"/>
          </w:tcPr>
          <w:p>
            <w:pPr>
              <w:spacing w:before="0" w:after="0" w:line="252" w:lineRule="auto"/>
            </w:pPr>
            <w:r>
              <w:rPr>
                <w:rFonts w:ascii="Noto Sans CJK SC" w:hAnsi="Noto Sans CJK SC"/>
                <w:sz w:val="14"/>
              </w:rPr>
              <w:t>A2</w:t>
            </w:r>
          </w:p>
        </w:tc>
        <w:tc>
          <w:tcPr>
            <w:tcW w:type="dxa" w:w="3061"/>
            <w:vAlign w:val="center"/>
          </w:tcPr>
          <w:p>
            <w:pPr>
              <w:spacing w:before="0" w:after="0" w:line="252" w:lineRule="auto"/>
            </w:pPr>
            <w:r>
              <w:rPr>
                <w:rFonts w:ascii="Noto Sans CJK SC" w:hAnsi="Noto Sans CJK SC"/>
                <w:sz w:val="14"/>
              </w:rPr>
              <w:t>A_geo→+A_corr→+A_dir→+A_adp</w:t>
            </w:r>
          </w:p>
        </w:tc>
        <w:tc>
          <w:tcPr>
            <w:tcW w:type="dxa" w:w="3402"/>
            <w:vAlign w:val="center"/>
          </w:tcPr>
          <w:p>
            <w:pPr>
              <w:spacing w:before="0" w:after="0" w:line="252" w:lineRule="auto"/>
            </w:pPr>
            <w:r>
              <w:rPr>
                <w:rFonts w:ascii="Noto Sans CJK SC" w:hAnsi="Noto Sans CJK SC"/>
                <w:sz w:val="14"/>
              </w:rPr>
              <w:t>每张图是否独立贡献</w:t>
            </w:r>
          </w:p>
        </w:tc>
        <w:tc>
          <w:tcPr>
            <w:tcW w:type="dxa" w:w="2835"/>
            <w:vAlign w:val="center"/>
          </w:tcPr>
          <w:p>
            <w:pPr>
              <w:spacing w:before="0" w:after="0" w:line="252" w:lineRule="auto"/>
            </w:pPr>
            <w:r>
              <w:rPr>
                <w:rFonts w:ascii="Noto Sans CJK SC" w:hAnsi="Noto Sans CJK SC"/>
                <w:sz w:val="14"/>
              </w:rPr>
              <w:t>RMSE/ES + graph weights</w:t>
            </w:r>
          </w:p>
        </w:tc>
      </w:tr>
      <w:tr>
        <w:tc>
          <w:tcPr>
            <w:tcW w:type="dxa" w:w="794"/>
            <w:vAlign w:val="center"/>
          </w:tcPr>
          <w:p>
            <w:pPr>
              <w:spacing w:before="0" w:after="0" w:line="252" w:lineRule="auto"/>
            </w:pPr>
            <w:r>
              <w:rPr>
                <w:rFonts w:ascii="Noto Sans CJK SC" w:hAnsi="Noto Sans CJK SC"/>
                <w:sz w:val="14"/>
              </w:rPr>
              <w:t>A3</w:t>
            </w:r>
          </w:p>
        </w:tc>
        <w:tc>
          <w:tcPr>
            <w:tcW w:type="dxa" w:w="3061"/>
            <w:vAlign w:val="center"/>
          </w:tcPr>
          <w:p>
            <w:pPr>
              <w:spacing w:before="0" w:after="0" w:line="252" w:lineRule="auto"/>
            </w:pPr>
            <w:r>
              <w:rPr>
                <w:rFonts w:ascii="Noto Sans CJK SC" w:hAnsi="Noto Sans CJK SC"/>
                <w:sz w:val="14"/>
              </w:rPr>
              <w:t>raw corr vs diff corr</w:t>
            </w:r>
          </w:p>
        </w:tc>
        <w:tc>
          <w:tcPr>
            <w:tcW w:type="dxa" w:w="3402"/>
            <w:vAlign w:val="center"/>
          </w:tcPr>
          <w:p>
            <w:pPr>
              <w:spacing w:before="0" w:after="0" w:line="252" w:lineRule="auto"/>
            </w:pPr>
            <w:r>
              <w:rPr>
                <w:rFonts w:ascii="Noto Sans CJK SC" w:hAnsi="Noto Sans CJK SC"/>
                <w:sz w:val="14"/>
              </w:rPr>
              <w:t>差分相关是否值得保留</w:t>
            </w:r>
          </w:p>
        </w:tc>
        <w:tc>
          <w:tcPr>
            <w:tcW w:type="dxa" w:w="2835"/>
            <w:vAlign w:val="center"/>
          </w:tcPr>
          <w:p>
            <w:pPr>
              <w:spacing w:before="0" w:after="0" w:line="252" w:lineRule="auto"/>
            </w:pPr>
            <w:r>
              <w:rPr>
                <w:rFonts w:ascii="Noto Sans CJK SC" w:hAnsi="Noto Sans CJK SC"/>
                <w:sz w:val="14"/>
              </w:rPr>
              <w:t>RMSE/robustness</w:t>
            </w:r>
          </w:p>
        </w:tc>
      </w:tr>
      <w:tr>
        <w:tc>
          <w:tcPr>
            <w:tcW w:type="dxa" w:w="794"/>
            <w:vAlign w:val="center"/>
          </w:tcPr>
          <w:p>
            <w:pPr>
              <w:spacing w:before="0" w:after="0" w:line="252" w:lineRule="auto"/>
            </w:pPr>
            <w:r>
              <w:rPr>
                <w:rFonts w:ascii="Noto Sans CJK SC" w:hAnsi="Noto Sans CJK SC"/>
                <w:sz w:val="14"/>
              </w:rPr>
              <w:t>A4</w:t>
            </w:r>
          </w:p>
        </w:tc>
        <w:tc>
          <w:tcPr>
            <w:tcW w:type="dxa" w:w="3061"/>
            <w:vAlign w:val="center"/>
          </w:tcPr>
          <w:p>
            <w:pPr>
              <w:spacing w:before="0" w:after="0" w:line="252" w:lineRule="auto"/>
            </w:pPr>
            <w:r>
              <w:rPr>
                <w:rFonts w:ascii="Noto Sans CJK SC" w:hAnsi="Noto Sans CJK SC"/>
                <w:sz w:val="14"/>
              </w:rPr>
              <w:t>Direct CFM vs VAE-CFM</w:t>
            </w:r>
          </w:p>
        </w:tc>
        <w:tc>
          <w:tcPr>
            <w:tcW w:type="dxa" w:w="3402"/>
            <w:vAlign w:val="center"/>
          </w:tcPr>
          <w:p>
            <w:pPr>
              <w:spacing w:before="0" w:after="0" w:line="252" w:lineRule="auto"/>
            </w:pPr>
            <w:r>
              <w:rPr>
                <w:rFonts w:ascii="Noto Sans CJK SC" w:hAnsi="Noto Sans CJK SC"/>
                <w:sz w:val="14"/>
              </w:rPr>
              <w:t>VAE 是否必要</w:t>
            </w:r>
          </w:p>
        </w:tc>
        <w:tc>
          <w:tcPr>
            <w:tcW w:type="dxa" w:w="2835"/>
            <w:vAlign w:val="center"/>
          </w:tcPr>
          <w:p>
            <w:pPr>
              <w:spacing w:before="0" w:after="0" w:line="252" w:lineRule="auto"/>
            </w:pPr>
            <w:r>
              <w:rPr>
                <w:rFonts w:ascii="Noto Sans CJK SC" w:hAnsi="Noto Sans CJK SC"/>
                <w:sz w:val="14"/>
              </w:rPr>
              <w:t>ES/VS/Ramp-KS/latency/VRAM</w:t>
            </w:r>
          </w:p>
        </w:tc>
      </w:tr>
      <w:tr>
        <w:tc>
          <w:tcPr>
            <w:tcW w:type="dxa" w:w="794"/>
            <w:vAlign w:val="center"/>
          </w:tcPr>
          <w:p>
            <w:pPr>
              <w:spacing w:before="0" w:after="0" w:line="252" w:lineRule="auto"/>
            </w:pPr>
            <w:r>
              <w:rPr>
                <w:rFonts w:ascii="Noto Sans CJK SC" w:hAnsi="Noto Sans CJK SC"/>
                <w:sz w:val="14"/>
              </w:rPr>
              <w:t>A5</w:t>
            </w:r>
          </w:p>
        </w:tc>
        <w:tc>
          <w:tcPr>
            <w:tcW w:type="dxa" w:w="3061"/>
            <w:vAlign w:val="center"/>
          </w:tcPr>
          <w:p>
            <w:pPr>
              <w:spacing w:before="0" w:after="0" w:line="252" w:lineRule="auto"/>
            </w:pPr>
            <w:r>
              <w:rPr>
                <w:rFonts w:ascii="Noto Sans CJK SC" w:hAnsi="Noto Sans CJK SC"/>
                <w:sz w:val="14"/>
              </w:rPr>
              <w:t>CFM vs genuine OT-CFM（可选）</w:t>
            </w:r>
          </w:p>
        </w:tc>
        <w:tc>
          <w:tcPr>
            <w:tcW w:type="dxa" w:w="3402"/>
            <w:vAlign w:val="center"/>
          </w:tcPr>
          <w:p>
            <w:pPr>
              <w:spacing w:before="0" w:after="0" w:line="252" w:lineRule="auto"/>
            </w:pPr>
            <w:r>
              <w:rPr>
                <w:rFonts w:ascii="Noto Sans CJK SC" w:hAnsi="Noto Sans CJK SC"/>
                <w:sz w:val="14"/>
              </w:rPr>
              <w:t>真实 OT coupling 是否增益</w:t>
            </w:r>
          </w:p>
        </w:tc>
        <w:tc>
          <w:tcPr>
            <w:tcW w:type="dxa" w:w="2835"/>
            <w:vAlign w:val="center"/>
          </w:tcPr>
          <w:p>
            <w:pPr>
              <w:spacing w:before="0" w:after="0" w:line="252" w:lineRule="auto"/>
            </w:pPr>
            <w:r>
              <w:rPr>
                <w:rFonts w:ascii="Noto Sans CJK SC" w:hAnsi="Noto Sans CJK SC"/>
                <w:sz w:val="14"/>
              </w:rPr>
              <w:t>ES/steps/time</w:t>
            </w:r>
          </w:p>
        </w:tc>
      </w:tr>
      <w:tr>
        <w:tc>
          <w:tcPr>
            <w:tcW w:type="dxa" w:w="794"/>
            <w:vAlign w:val="center"/>
          </w:tcPr>
          <w:p>
            <w:pPr>
              <w:spacing w:before="0" w:after="0" w:line="252" w:lineRule="auto"/>
            </w:pPr>
            <w:r>
              <w:rPr>
                <w:rFonts w:ascii="Noto Sans CJK SC" w:hAnsi="Noto Sans CJK SC"/>
                <w:sz w:val="14"/>
              </w:rPr>
              <w:t>A6</w:t>
            </w:r>
          </w:p>
        </w:tc>
        <w:tc>
          <w:tcPr>
            <w:tcW w:type="dxa" w:w="3061"/>
            <w:vAlign w:val="center"/>
          </w:tcPr>
          <w:p>
            <w:pPr>
              <w:spacing w:before="0" w:after="0" w:line="252" w:lineRule="auto"/>
            </w:pPr>
            <w:r>
              <w:rPr>
                <w:rFonts w:ascii="Noto Sans CJK SC" w:hAnsi="Noto Sans CJK SC"/>
                <w:sz w:val="14"/>
              </w:rPr>
              <w:t>4/8/16/32 ODE steps</w:t>
            </w:r>
          </w:p>
        </w:tc>
        <w:tc>
          <w:tcPr>
            <w:tcW w:type="dxa" w:w="3402"/>
            <w:vAlign w:val="center"/>
          </w:tcPr>
          <w:p>
            <w:pPr>
              <w:spacing w:before="0" w:after="0" w:line="252" w:lineRule="auto"/>
            </w:pPr>
            <w:r>
              <w:rPr>
                <w:rFonts w:ascii="Noto Sans CJK SC" w:hAnsi="Noto Sans CJK SC"/>
                <w:sz w:val="14"/>
              </w:rPr>
              <w:t>速度-质量折中</w:t>
            </w:r>
          </w:p>
        </w:tc>
        <w:tc>
          <w:tcPr>
            <w:tcW w:type="dxa" w:w="2835"/>
            <w:vAlign w:val="center"/>
          </w:tcPr>
          <w:p>
            <w:pPr>
              <w:spacing w:before="0" w:after="0" w:line="252" w:lineRule="auto"/>
            </w:pPr>
            <w:r>
              <w:rPr>
                <w:rFonts w:ascii="Noto Sans CJK SC" w:hAnsi="Noto Sans CJK SC"/>
                <w:sz w:val="14"/>
              </w:rPr>
              <w:t>Pareto</w:t>
            </w:r>
          </w:p>
        </w:tc>
      </w:tr>
      <w:tr>
        <w:tc>
          <w:tcPr>
            <w:tcW w:type="dxa" w:w="794"/>
            <w:vAlign w:val="center"/>
          </w:tcPr>
          <w:p>
            <w:pPr>
              <w:spacing w:before="0" w:after="0" w:line="252" w:lineRule="auto"/>
            </w:pPr>
            <w:r>
              <w:rPr>
                <w:rFonts w:ascii="Noto Sans CJK SC" w:hAnsi="Noto Sans CJK SC"/>
                <w:sz w:val="14"/>
              </w:rPr>
              <w:t>A7</w:t>
            </w:r>
          </w:p>
        </w:tc>
        <w:tc>
          <w:tcPr>
            <w:tcW w:type="dxa" w:w="3061"/>
            <w:vAlign w:val="center"/>
          </w:tcPr>
          <w:p>
            <w:pPr>
              <w:spacing w:before="0" w:after="0" w:line="252" w:lineRule="auto"/>
            </w:pPr>
            <w:r>
              <w:rPr>
                <w:rFonts w:ascii="Noto Sans CJK SC" w:hAnsi="Noto Sans CJK SC"/>
                <w:sz w:val="14"/>
              </w:rPr>
              <w:t>Static conformal vs ACI</w:t>
            </w:r>
          </w:p>
        </w:tc>
        <w:tc>
          <w:tcPr>
            <w:tcW w:type="dxa" w:w="3402"/>
            <w:vAlign w:val="center"/>
          </w:tcPr>
          <w:p>
            <w:pPr>
              <w:spacing w:before="0" w:after="0" w:line="252" w:lineRule="auto"/>
            </w:pPr>
            <w:r>
              <w:rPr>
                <w:rFonts w:ascii="Noto Sans CJK SC" w:hAnsi="Noto Sans CJK SC"/>
                <w:sz w:val="14"/>
              </w:rPr>
              <w:t>chronological shift 价值</w:t>
            </w:r>
          </w:p>
        </w:tc>
        <w:tc>
          <w:tcPr>
            <w:tcW w:type="dxa" w:w="2835"/>
            <w:vAlign w:val="center"/>
          </w:tcPr>
          <w:p>
            <w:pPr>
              <w:spacing w:before="0" w:after="0" w:line="252" w:lineRule="auto"/>
            </w:pPr>
            <w:r>
              <w:rPr>
                <w:rFonts w:ascii="Noto Sans CJK SC" w:hAnsi="Noto Sans CJK SC"/>
                <w:sz w:val="14"/>
              </w:rPr>
              <w:t>rolling PICP/width</w:t>
            </w:r>
          </w:p>
        </w:tc>
      </w:tr>
      <w:tr>
        <w:tc>
          <w:tcPr>
            <w:tcW w:type="dxa" w:w="794"/>
            <w:vAlign w:val="center"/>
          </w:tcPr>
          <w:p>
            <w:pPr>
              <w:spacing w:before="0" w:after="0" w:line="252" w:lineRule="auto"/>
            </w:pPr>
            <w:r>
              <w:rPr>
                <w:rFonts w:ascii="Noto Sans CJK SC" w:hAnsi="Noto Sans CJK SC"/>
                <w:sz w:val="14"/>
              </w:rPr>
              <w:t>A8</w:t>
            </w:r>
          </w:p>
        </w:tc>
        <w:tc>
          <w:tcPr>
            <w:tcW w:type="dxa" w:w="3061"/>
            <w:vAlign w:val="center"/>
          </w:tcPr>
          <w:p>
            <w:pPr>
              <w:spacing w:before="0" w:after="0" w:line="252" w:lineRule="auto"/>
            </w:pPr>
            <w:r>
              <w:rPr>
                <w:rFonts w:ascii="Noto Sans CJK SC" w:hAnsi="Noto Sans CJK SC"/>
                <w:sz w:val="14"/>
              </w:rPr>
              <w:t>context/fallback off</w:t>
            </w:r>
          </w:p>
        </w:tc>
        <w:tc>
          <w:tcPr>
            <w:tcW w:type="dxa" w:w="3402"/>
            <w:vAlign w:val="center"/>
          </w:tcPr>
          <w:p>
            <w:pPr>
              <w:spacing w:before="0" w:after="0" w:line="252" w:lineRule="auto"/>
            </w:pPr>
            <w:r>
              <w:rPr>
                <w:rFonts w:ascii="Noto Sans CJK SC" w:hAnsi="Noto Sans CJK SC"/>
                <w:sz w:val="14"/>
              </w:rPr>
              <w:t>empirical OOD enhancement 是否有用</w:t>
            </w:r>
          </w:p>
        </w:tc>
        <w:tc>
          <w:tcPr>
            <w:tcW w:type="dxa" w:w="2835"/>
            <w:vAlign w:val="center"/>
          </w:tcPr>
          <w:p>
            <w:pPr>
              <w:spacing w:before="0" w:after="0" w:line="252" w:lineRule="auto"/>
            </w:pPr>
            <w:r>
              <w:rPr>
                <w:rFonts w:ascii="Noto Sans CJK SC" w:hAnsi="Noto Sans CJK SC"/>
                <w:sz w:val="14"/>
              </w:rPr>
              <w:t>extreme PICP/width/trigger rate</w:t>
            </w:r>
          </w:p>
        </w:tc>
      </w:tr>
      <w:tr>
        <w:tc>
          <w:tcPr>
            <w:tcW w:type="dxa" w:w="794"/>
            <w:vAlign w:val="center"/>
          </w:tcPr>
          <w:p>
            <w:pPr>
              <w:spacing w:before="0" w:after="0" w:line="252" w:lineRule="auto"/>
            </w:pPr>
            <w:r>
              <w:rPr>
                <w:rFonts w:ascii="Noto Sans CJK SC" w:hAnsi="Noto Sans CJK SC"/>
                <w:sz w:val="14"/>
              </w:rPr>
              <w:t>A9</w:t>
            </w:r>
          </w:p>
        </w:tc>
        <w:tc>
          <w:tcPr>
            <w:tcW w:type="dxa" w:w="3061"/>
            <w:vAlign w:val="center"/>
          </w:tcPr>
          <w:p>
            <w:pPr>
              <w:spacing w:before="0" w:after="0" w:line="252" w:lineRule="auto"/>
            </w:pPr>
            <w:r>
              <w:rPr>
                <w:rFonts w:ascii="Noto Sans CJK SC" w:hAnsi="Noto Sans CJK SC"/>
                <w:sz w:val="14"/>
              </w:rPr>
              <w:t>X-only vs X+M vs X+M+ΔT</w:t>
            </w:r>
          </w:p>
        </w:tc>
        <w:tc>
          <w:tcPr>
            <w:tcW w:type="dxa" w:w="3402"/>
            <w:vAlign w:val="center"/>
          </w:tcPr>
          <w:p>
            <w:pPr>
              <w:spacing w:before="0" w:after="0" w:line="252" w:lineRule="auto"/>
            </w:pPr>
            <w:r>
              <w:rPr>
                <w:rFonts w:ascii="Noto Sans CJK SC" w:hAnsi="Noto Sans CJK SC"/>
                <w:sz w:val="14"/>
              </w:rPr>
              <w:t>missingness pattern 是否有价值</w:t>
            </w:r>
          </w:p>
        </w:tc>
        <w:tc>
          <w:tcPr>
            <w:tcW w:type="dxa" w:w="2835"/>
            <w:vAlign w:val="center"/>
          </w:tcPr>
          <w:p>
            <w:pPr>
              <w:spacing w:before="0" w:after="0" w:line="252" w:lineRule="auto"/>
            </w:pPr>
            <w:r>
              <w:rPr>
                <w:rFonts w:ascii="Noto Sans CJK SC" w:hAnsi="Noto Sans CJK SC"/>
                <w:sz w:val="14"/>
              </w:rPr>
              <w:t>missing-stress CRPS/RMSE</w:t>
            </w:r>
          </w:p>
        </w:tc>
      </w:tr>
      <w:tr>
        <w:tc>
          <w:tcPr>
            <w:tcW w:type="dxa" w:w="794"/>
            <w:vAlign w:val="center"/>
          </w:tcPr>
          <w:p>
            <w:pPr>
              <w:spacing w:before="0" w:after="0" w:line="252" w:lineRule="auto"/>
            </w:pPr>
            <w:r>
              <w:rPr>
                <w:rFonts w:ascii="Noto Sans CJK SC" w:hAnsi="Noto Sans CJK SC"/>
                <w:sz w:val="14"/>
              </w:rPr>
              <w:t>A10</w:t>
            </w:r>
          </w:p>
        </w:tc>
        <w:tc>
          <w:tcPr>
            <w:tcW w:type="dxa" w:w="3061"/>
            <w:vAlign w:val="center"/>
          </w:tcPr>
          <w:p>
            <w:pPr>
              <w:spacing w:before="0" w:after="0" w:line="252" w:lineRule="auto"/>
            </w:pPr>
            <w:r>
              <w:rPr>
                <w:rFonts w:ascii="Noto Sans CJK SC" w:hAnsi="Noto Sans CJK SC"/>
                <w:sz w:val="14"/>
              </w:rPr>
              <w:t>risk without OOD/data terms</w:t>
            </w:r>
          </w:p>
        </w:tc>
        <w:tc>
          <w:tcPr>
            <w:tcW w:type="dxa" w:w="3402"/>
            <w:vAlign w:val="center"/>
          </w:tcPr>
          <w:p>
            <w:pPr>
              <w:spacing w:before="0" w:after="0" w:line="252" w:lineRule="auto"/>
            </w:pPr>
            <w:r>
              <w:rPr>
                <w:rFonts w:ascii="Noto Sans CJK SC" w:hAnsi="Noto Sans CJK SC"/>
                <w:sz w:val="14"/>
              </w:rPr>
              <w:t>辅助诊断是否提升事件 skill</w:t>
            </w:r>
          </w:p>
        </w:tc>
        <w:tc>
          <w:tcPr>
            <w:tcW w:type="dxa" w:w="2835"/>
            <w:vAlign w:val="center"/>
          </w:tcPr>
          <w:p>
            <w:pPr>
              <w:spacing w:before="0" w:after="0" w:line="252" w:lineRule="auto"/>
            </w:pPr>
            <w:r>
              <w:rPr>
                <w:rFonts w:ascii="Noto Sans CJK SC" w:hAnsi="Noto Sans CJK SC"/>
                <w:sz w:val="14"/>
              </w:rPr>
              <w:t>AUPRC/Brier/stylized cost</w:t>
            </w:r>
          </w:p>
        </w:tc>
      </w:tr>
      <w:tr>
        <w:tc>
          <w:tcPr>
            <w:tcW w:type="dxa" w:w="794"/>
            <w:vAlign w:val="center"/>
          </w:tcPr>
          <w:p>
            <w:pPr>
              <w:spacing w:before="0" w:after="0" w:line="252" w:lineRule="auto"/>
            </w:pPr>
            <w:r>
              <w:rPr>
                <w:rFonts w:ascii="Noto Sans CJK SC" w:hAnsi="Noto Sans CJK SC"/>
                <w:sz w:val="14"/>
              </w:rPr>
              <w:t>A11</w:t>
            </w:r>
          </w:p>
        </w:tc>
        <w:tc>
          <w:tcPr>
            <w:tcW w:type="dxa" w:w="3061"/>
            <w:vAlign w:val="center"/>
          </w:tcPr>
          <w:p>
            <w:pPr>
              <w:spacing w:before="0" w:after="0" w:line="252" w:lineRule="auto"/>
            </w:pPr>
            <w:r>
              <w:rPr>
                <w:rFonts w:ascii="Noto Sans CJK SC" w:hAnsi="Noto Sans CJK SC"/>
                <w:sz w:val="14"/>
              </w:rPr>
              <w:t>History-only vs Oracle ERA5 vs true forecast</w:t>
            </w:r>
          </w:p>
        </w:tc>
        <w:tc>
          <w:tcPr>
            <w:tcW w:type="dxa" w:w="3402"/>
            <w:vAlign w:val="center"/>
          </w:tcPr>
          <w:p>
            <w:pPr>
              <w:spacing w:before="0" w:after="0" w:line="252" w:lineRule="auto"/>
            </w:pPr>
            <w:r>
              <w:rPr>
                <w:rFonts w:ascii="Noto Sans CJK SC" w:hAnsi="Noto Sans CJK SC"/>
                <w:sz w:val="14"/>
              </w:rPr>
              <w:t>future weather 可用性与 oracle gap</w:t>
            </w:r>
          </w:p>
        </w:tc>
        <w:tc>
          <w:tcPr>
            <w:tcW w:type="dxa" w:w="2835"/>
            <w:vAlign w:val="center"/>
          </w:tcPr>
          <w:p>
            <w:pPr>
              <w:spacing w:before="0" w:after="0" w:line="252" w:lineRule="auto"/>
            </w:pPr>
            <w:r>
              <w:rPr>
                <w:rFonts w:ascii="Noto Sans CJK SC" w:hAnsi="Noto Sans CJK SC"/>
                <w:sz w:val="14"/>
              </w:rPr>
              <w:t>RMSE/CRPS/ES/Ramp</w:t>
            </w:r>
          </w:p>
        </w:tc>
      </w:tr>
    </w:tbl>
    <w:p>
      <w:pPr>
        <w:spacing w:after="0"/>
      </w:pPr>
    </w:p>
    <w:p>
      <w:pPr>
        <w:pStyle w:val="Heading2"/>
      </w:pPr>
      <w:r>
        <w:t>12.4 统计与公平性</w:t>
      </w:r>
    </w:p>
    <w:p>
      <w:pPr>
        <w:pStyle w:val="ListBullet"/>
        <w:spacing w:after="30"/>
      </w:pPr>
      <w:r>
        <w:t>主结果至少 5 seeds mean±std；极端事件数量少时以 event-level bootstrap 95% CI 为主。</w:t>
      </w:r>
    </w:p>
    <w:p>
      <w:pPr>
        <w:pStyle w:val="ListBullet"/>
        <w:spacing w:after="30"/>
      </w:pPr>
      <w:r>
        <w:t>连续预测差异可用配对误差/DM test，并对多步序列相关做适当 HAC/依赖处理。</w:t>
      </w:r>
    </w:p>
    <w:p>
      <w:pPr>
        <w:pStyle w:val="ListBullet"/>
        <w:spacing w:after="30"/>
      </w:pPr>
      <w:r>
        <w:t>生成模型比较固定 split、input information、M_scen、调参预算和硬件；DDIM/CFM 尽量使用相近 conditioner/hidden width。</w:t>
      </w:r>
    </w:p>
    <w:p>
      <w:pPr>
        <w:pStyle w:val="ListBullet"/>
        <w:spacing w:after="30"/>
      </w:pPr>
      <w:r>
        <w:t>所有性能数字未从真实日志产生前只能写 target/budget，不得写 achieved。</w:t>
      </w:r>
    </w:p>
    <w:p>
      <w:pPr>
        <w:pStyle w:val="Heading1"/>
      </w:pPr>
      <w:r>
        <w:t>13. 外部验证与投稿 Gate</w:t>
      </w:r>
    </w:p>
    <w:tbl>
      <w:tblPr>
        <w:tblStyle w:val="TableGrid"/>
        <w:tblW w:type="auto" w:w="0"/>
        <w:jc w:val="center"/>
        <w:tblLook w:firstColumn="1" w:firstRow="1" w:lastColumn="0" w:lastRow="0" w:noHBand="0" w:noVBand="1" w:val="04A0"/>
      </w:tblPr>
      <w:tblGrid>
        <w:gridCol w:w="3326"/>
        <w:gridCol w:w="3326"/>
        <w:gridCol w:w="3326"/>
      </w:tblGrid>
      <w:tr>
        <w:tc>
          <w:tcPr>
            <w:tcW w:type="dxa" w:w="1247"/>
            <w:shd w:fill="DCEAF3"/>
            <w:vAlign w:val="center"/>
          </w:tcPr>
          <w:p>
            <w:pPr>
              <w:jc w:val="center"/>
            </w:pPr>
            <w:r>
              <w:rPr>
                <w:b/>
                <w:color w:val="243746"/>
                <w:sz w:val="15"/>
              </w:rPr>
              <w:t>Gate</w:t>
            </w:r>
          </w:p>
        </w:tc>
        <w:tc>
          <w:tcPr>
            <w:tcW w:type="dxa" w:w="5613"/>
            <w:shd w:fill="DCEAF3"/>
            <w:vAlign w:val="center"/>
          </w:tcPr>
          <w:p>
            <w:pPr>
              <w:jc w:val="center"/>
            </w:pPr>
            <w:r>
              <w:rPr>
                <w:b/>
                <w:color w:val="243746"/>
                <w:sz w:val="15"/>
              </w:rPr>
              <w:t>完成标准</w:t>
            </w:r>
          </w:p>
        </w:tc>
        <w:tc>
          <w:tcPr>
            <w:tcW w:type="dxa" w:w="3231"/>
            <w:shd w:fill="DCEAF3"/>
            <w:vAlign w:val="center"/>
          </w:tcPr>
          <w:p>
            <w:pPr>
              <w:jc w:val="center"/>
            </w:pPr>
            <w:r>
              <w:rPr>
                <w:b/>
                <w:color w:val="243746"/>
                <w:sz w:val="15"/>
              </w:rPr>
              <w:t>不满足怎么办</w:t>
            </w:r>
          </w:p>
        </w:tc>
      </w:tr>
      <w:tr>
        <w:tc>
          <w:tcPr>
            <w:tcW w:type="dxa" w:w="1247"/>
            <w:vAlign w:val="center"/>
          </w:tcPr>
          <w:p>
            <w:pPr>
              <w:spacing w:before="0" w:after="0" w:line="252" w:lineRule="auto"/>
            </w:pPr>
            <w:r>
              <w:rPr>
                <w:rFonts w:ascii="Noto Sans CJK SC" w:hAnsi="Noto Sans CJK SC"/>
                <w:sz w:val="15"/>
              </w:rPr>
              <w:t>1 数据</w:t>
            </w:r>
          </w:p>
        </w:tc>
        <w:tc>
          <w:tcPr>
            <w:tcW w:type="dxa" w:w="5613"/>
            <w:vAlign w:val="center"/>
          </w:tcPr>
          <w:p>
            <w:pPr>
              <w:spacing w:before="0" w:after="0" w:line="252" w:lineRule="auto"/>
            </w:pPr>
            <w:r>
              <w:rPr>
                <w:rFonts w:ascii="Noto Sans CJK SC" w:hAnsi="Noto Sans CJK SC"/>
                <w:sz w:val="15"/>
              </w:rPr>
              <w:t>raw audit、official mask、rigid grid、no-leakage tests 全通过</w:t>
            </w:r>
          </w:p>
        </w:tc>
        <w:tc>
          <w:tcPr>
            <w:tcW w:type="dxa" w:w="3231"/>
            <w:vAlign w:val="center"/>
          </w:tcPr>
          <w:p>
            <w:pPr>
              <w:spacing w:before="0" w:after="0" w:line="252" w:lineRule="auto"/>
            </w:pPr>
            <w:r>
              <w:rPr>
                <w:rFonts w:ascii="Noto Sans CJK SC" w:hAnsi="Noto Sans CJK SC"/>
                <w:sz w:val="15"/>
              </w:rPr>
              <w:t>不训练模型</w:t>
            </w:r>
          </w:p>
        </w:tc>
      </w:tr>
      <w:tr>
        <w:tc>
          <w:tcPr>
            <w:tcW w:type="dxa" w:w="1247"/>
            <w:vAlign w:val="center"/>
          </w:tcPr>
          <w:p>
            <w:pPr>
              <w:spacing w:before="0" w:after="0" w:line="252" w:lineRule="auto"/>
            </w:pPr>
            <w:r>
              <w:rPr>
                <w:rFonts w:ascii="Noto Sans CJK SC" w:hAnsi="Noto Sans CJK SC"/>
                <w:sz w:val="15"/>
              </w:rPr>
              <w:t>2 弱物理中心</w:t>
            </w:r>
          </w:p>
        </w:tc>
        <w:tc>
          <w:tcPr>
            <w:tcW w:type="dxa" w:w="5613"/>
            <w:vAlign w:val="center"/>
          </w:tcPr>
          <w:p>
            <w:pPr>
              <w:spacing w:before="0" w:after="0" w:line="252" w:lineRule="auto"/>
            </w:pPr>
            <w:r>
              <w:rPr>
                <w:rFonts w:ascii="Noto Sans CJK SC" w:hAnsi="Noto Sans CJK SC"/>
                <w:sz w:val="15"/>
              </w:rPr>
              <w:t>P_pc 在 normal/extreme 分层逻辑正确</w:t>
            </w:r>
          </w:p>
        </w:tc>
        <w:tc>
          <w:tcPr>
            <w:tcW w:type="dxa" w:w="3231"/>
            <w:vAlign w:val="center"/>
          </w:tcPr>
          <w:p>
            <w:pPr>
              <w:spacing w:before="0" w:after="0" w:line="252" w:lineRule="auto"/>
            </w:pPr>
            <w:r>
              <w:rPr>
                <w:rFonts w:ascii="Noto Sans CJK SC" w:hAnsi="Noto Sans CJK SC"/>
                <w:sz w:val="15"/>
              </w:rPr>
              <w:t>修 power curve / state rules</w:t>
            </w:r>
          </w:p>
        </w:tc>
      </w:tr>
      <w:tr>
        <w:tc>
          <w:tcPr>
            <w:tcW w:type="dxa" w:w="1247"/>
            <w:vAlign w:val="center"/>
          </w:tcPr>
          <w:p>
            <w:pPr>
              <w:spacing w:before="0" w:after="0" w:line="252" w:lineRule="auto"/>
            </w:pPr>
            <w:r>
              <w:rPr>
                <w:rFonts w:ascii="Noto Sans CJK SC" w:hAnsi="Noto Sans CJK SC"/>
                <w:sz w:val="15"/>
              </w:rPr>
              <w:t>3 点预测</w:t>
            </w:r>
          </w:p>
        </w:tc>
        <w:tc>
          <w:tcPr>
            <w:tcW w:type="dxa" w:w="5613"/>
            <w:vAlign w:val="center"/>
          </w:tcPr>
          <w:p>
            <w:pPr>
              <w:spacing w:before="0" w:after="0" w:line="252" w:lineRule="auto"/>
            </w:pPr>
            <w:r>
              <w:rPr>
                <w:rFonts w:ascii="Noto Sans CJK SC" w:hAnsi="Noto Sans CJK SC"/>
                <w:sz w:val="15"/>
              </w:rPr>
              <w:t>v3.2 backbone 至少不劣于原 IMFGCN，extreme 段有稳定收益</w:t>
            </w:r>
          </w:p>
        </w:tc>
        <w:tc>
          <w:tcPr>
            <w:tcW w:type="dxa" w:w="3231"/>
            <w:vAlign w:val="center"/>
          </w:tcPr>
          <w:p>
            <w:pPr>
              <w:spacing w:before="0" w:after="0" w:line="252" w:lineRule="auto"/>
            </w:pPr>
            <w:r>
              <w:rPr>
                <w:rFonts w:ascii="Noto Sans CJK SC" w:hAnsi="Noto Sans CJK SC"/>
                <w:sz w:val="15"/>
              </w:rPr>
              <w:t>先修 graph/residual，不上生成器</w:t>
            </w:r>
          </w:p>
        </w:tc>
      </w:tr>
      <w:tr>
        <w:tc>
          <w:tcPr>
            <w:tcW w:type="dxa" w:w="1247"/>
            <w:vAlign w:val="center"/>
          </w:tcPr>
          <w:p>
            <w:pPr>
              <w:spacing w:before="0" w:after="0" w:line="252" w:lineRule="auto"/>
            </w:pPr>
            <w:r>
              <w:rPr>
                <w:rFonts w:ascii="Noto Sans CJK SC" w:hAnsi="Noto Sans CJK SC"/>
                <w:sz w:val="15"/>
              </w:rPr>
              <w:t>4 CFM</w:t>
            </w:r>
          </w:p>
        </w:tc>
        <w:tc>
          <w:tcPr>
            <w:tcW w:type="dxa" w:w="5613"/>
            <w:vAlign w:val="center"/>
          </w:tcPr>
          <w:p>
            <w:pPr>
              <w:spacing w:before="0" w:after="0" w:line="252" w:lineRule="auto"/>
            </w:pPr>
            <w:r>
              <w:rPr>
                <w:rFonts w:ascii="Noto Sans CJK SC" w:hAnsi="Noto Sans CJK SC"/>
                <w:sz w:val="15"/>
              </w:rPr>
              <w:t>至少在 ES/VS/CRPS/Ramp 一项有稳定联合概率优势且 latency 可接受</w:t>
            </w:r>
          </w:p>
        </w:tc>
        <w:tc>
          <w:tcPr>
            <w:tcW w:type="dxa" w:w="3231"/>
            <w:vAlign w:val="center"/>
          </w:tcPr>
          <w:p>
            <w:pPr>
              <w:spacing w:before="0" w:after="0" w:line="252" w:lineRule="auto"/>
            </w:pPr>
            <w:r>
              <w:rPr>
                <w:rFonts w:ascii="Noto Sans CJK SC" w:hAnsi="Noto Sans CJK SC"/>
                <w:sz w:val="15"/>
              </w:rPr>
              <w:t>无优势则保留更简单概率模型</w:t>
            </w:r>
          </w:p>
        </w:tc>
      </w:tr>
      <w:tr>
        <w:tc>
          <w:tcPr>
            <w:tcW w:type="dxa" w:w="1247"/>
            <w:vAlign w:val="center"/>
          </w:tcPr>
          <w:p>
            <w:pPr>
              <w:spacing w:before="0" w:after="0" w:line="252" w:lineRule="auto"/>
            </w:pPr>
            <w:r>
              <w:rPr>
                <w:rFonts w:ascii="Noto Sans CJK SC" w:hAnsi="Noto Sans CJK SC"/>
                <w:sz w:val="15"/>
              </w:rPr>
              <w:t>5 Calibration</w:t>
            </w:r>
          </w:p>
        </w:tc>
        <w:tc>
          <w:tcPr>
            <w:tcW w:type="dxa" w:w="5613"/>
            <w:vAlign w:val="center"/>
          </w:tcPr>
          <w:p>
            <w:pPr>
              <w:spacing w:before="0" w:after="0" w:line="252" w:lineRule="auto"/>
            </w:pPr>
            <w:r>
              <w:rPr>
                <w:rFonts w:ascii="Noto Sans CJK SC" w:hAnsi="Noto Sans CJK SC"/>
                <w:sz w:val="15"/>
              </w:rPr>
              <w:t>nominal 90% 在总体与关键 extreme subgroup 不严重欠覆盖，width 可控</w:t>
            </w:r>
          </w:p>
        </w:tc>
        <w:tc>
          <w:tcPr>
            <w:tcW w:type="dxa" w:w="3231"/>
            <w:vAlign w:val="center"/>
          </w:tcPr>
          <w:p>
            <w:pPr>
              <w:spacing w:before="0" w:after="0" w:line="252" w:lineRule="auto"/>
            </w:pPr>
            <w:r>
              <w:rPr>
                <w:rFonts w:ascii="Noto Sans CJK SC" w:hAnsi="Noto Sans CJK SC"/>
                <w:sz w:val="15"/>
              </w:rPr>
              <w:t>调整 calibration，不靠堆模型</w:t>
            </w:r>
          </w:p>
        </w:tc>
      </w:tr>
      <w:tr>
        <w:tc>
          <w:tcPr>
            <w:tcW w:type="dxa" w:w="1247"/>
            <w:vAlign w:val="center"/>
          </w:tcPr>
          <w:p>
            <w:pPr>
              <w:spacing w:before="0" w:after="0" w:line="252" w:lineRule="auto"/>
            </w:pPr>
            <w:r>
              <w:rPr>
                <w:rFonts w:ascii="Noto Sans CJK SC" w:hAnsi="Noto Sans CJK SC"/>
                <w:sz w:val="15"/>
              </w:rPr>
              <w:t>6 Risk</w:t>
            </w:r>
          </w:p>
        </w:tc>
        <w:tc>
          <w:tcPr>
            <w:tcW w:type="dxa" w:w="5613"/>
            <w:vAlign w:val="center"/>
          </w:tcPr>
          <w:p>
            <w:pPr>
              <w:spacing w:before="0" w:after="0" w:line="252" w:lineRule="auto"/>
            </w:pPr>
            <w:r>
              <w:rPr>
                <w:rFonts w:ascii="Noto Sans CJK SC" w:hAnsi="Noto Sans CJK SC"/>
                <w:sz w:val="15"/>
              </w:rPr>
              <w:t>p_ramp/CVaR 对真实 event 有 Brier/AUPRC skill</w:t>
            </w:r>
          </w:p>
        </w:tc>
        <w:tc>
          <w:tcPr>
            <w:tcW w:type="dxa" w:w="3231"/>
            <w:vAlign w:val="center"/>
          </w:tcPr>
          <w:p>
            <w:pPr>
              <w:spacing w:before="0" w:after="0" w:line="252" w:lineRule="auto"/>
            </w:pPr>
            <w:r>
              <w:rPr>
                <w:rFonts w:ascii="Noto Sans CJK SC" w:hAnsi="Noto Sans CJK SC"/>
                <w:sz w:val="15"/>
              </w:rPr>
              <w:t>不写 risk-warning contribution</w:t>
            </w:r>
          </w:p>
        </w:tc>
      </w:tr>
      <w:tr>
        <w:tc>
          <w:tcPr>
            <w:tcW w:type="dxa" w:w="1247"/>
            <w:vAlign w:val="center"/>
          </w:tcPr>
          <w:p>
            <w:pPr>
              <w:spacing w:before="0" w:after="0" w:line="252" w:lineRule="auto"/>
            </w:pPr>
            <w:r>
              <w:rPr>
                <w:rFonts w:ascii="Noto Sans CJK SC" w:hAnsi="Noto Sans CJK SC"/>
                <w:sz w:val="15"/>
              </w:rPr>
              <w:t>7 External</w:t>
            </w:r>
          </w:p>
        </w:tc>
        <w:tc>
          <w:tcPr>
            <w:tcW w:type="dxa" w:w="5613"/>
            <w:vAlign w:val="center"/>
          </w:tcPr>
          <w:p>
            <w:pPr>
              <w:spacing w:before="0" w:after="0" w:line="252" w:lineRule="auto"/>
            </w:pPr>
            <w:r>
              <w:rPr>
                <w:rFonts w:ascii="Noto Sans CJK SC" w:hAnsi="Noto Sans CJK SC"/>
                <w:sz w:val="15"/>
              </w:rPr>
              <w:t>Kelmarsh/CARE/WTK 至少一个外部证据与 claim 对应</w:t>
            </w:r>
          </w:p>
        </w:tc>
        <w:tc>
          <w:tcPr>
            <w:tcW w:type="dxa" w:w="3231"/>
            <w:vAlign w:val="center"/>
          </w:tcPr>
          <w:p>
            <w:pPr>
              <w:spacing w:before="0" w:after="0" w:line="252" w:lineRule="auto"/>
            </w:pPr>
            <w:r>
              <w:rPr>
                <w:rFonts w:ascii="Noto Sans CJK SC" w:hAnsi="Noto Sans CJK SC"/>
                <w:sz w:val="15"/>
              </w:rPr>
              <w:t>降低泛化声明</w:t>
            </w:r>
          </w:p>
        </w:tc>
      </w:tr>
      <w:tr>
        <w:tc>
          <w:tcPr>
            <w:tcW w:type="dxa" w:w="1247"/>
            <w:vAlign w:val="center"/>
          </w:tcPr>
          <w:p>
            <w:pPr>
              <w:spacing w:before="0" w:after="0" w:line="252" w:lineRule="auto"/>
            </w:pPr>
            <w:r>
              <w:rPr>
                <w:rFonts w:ascii="Noto Sans CJK SC" w:hAnsi="Noto Sans CJK SC"/>
                <w:sz w:val="15"/>
              </w:rPr>
              <w:t>8 Submission</w:t>
            </w:r>
          </w:p>
        </w:tc>
        <w:tc>
          <w:tcPr>
            <w:tcW w:type="dxa" w:w="5613"/>
            <w:vAlign w:val="center"/>
          </w:tcPr>
          <w:p>
            <w:pPr>
              <w:spacing w:before="0" w:after="0" w:line="252" w:lineRule="auto"/>
            </w:pPr>
            <w:r>
              <w:rPr>
                <w:rFonts w:ascii="Noto Sans CJK SC" w:hAnsi="Noto Sans CJK SC"/>
                <w:sz w:val="15"/>
              </w:rPr>
              <w:t>5 seeds + event bootstrap + ablation + Pareto + limitations 齐全</w:t>
            </w:r>
          </w:p>
        </w:tc>
        <w:tc>
          <w:tcPr>
            <w:tcW w:type="dxa" w:w="3231"/>
            <w:vAlign w:val="center"/>
          </w:tcPr>
          <w:p>
            <w:pPr>
              <w:spacing w:before="0" w:after="0" w:line="252" w:lineRule="auto"/>
            </w:pPr>
            <w:r>
              <w:rPr>
                <w:rFonts w:ascii="Noto Sans CJK SC" w:hAnsi="Noto Sans CJK SC"/>
                <w:sz w:val="15"/>
              </w:rPr>
              <w:t>不定稿</w:t>
            </w:r>
          </w:p>
        </w:tc>
      </w:tr>
    </w:tbl>
    <w:p>
      <w:pPr>
        <w:spacing w:after="0"/>
      </w:pPr>
    </w:p>
    <w:p>
      <w:pPr>
        <w:pStyle w:val="Heading1"/>
      </w:pPr>
      <w:r>
        <w:t>14. 论文写作边界与 Claim 词典</w:t>
      </w:r>
    </w:p>
    <w:tbl>
      <w:tblPr>
        <w:tblStyle w:val="TableGrid"/>
        <w:tblW w:type="auto" w:w="0"/>
        <w:jc w:val="center"/>
        <w:tblLook w:firstColumn="1" w:firstRow="1" w:lastColumn="0" w:lastRow="0" w:noHBand="0" w:noVBand="1" w:val="04A0"/>
      </w:tblPr>
      <w:tblGrid>
        <w:gridCol w:w="4989"/>
        <w:gridCol w:w="4989"/>
      </w:tblGrid>
      <w:tr>
        <w:tc>
          <w:tcPr>
            <w:tcW w:type="dxa" w:w="4139"/>
            <w:shd w:fill="DCEAF3"/>
            <w:vAlign w:val="center"/>
          </w:tcPr>
          <w:p>
            <w:pPr>
              <w:jc w:val="center"/>
            </w:pPr>
            <w:r>
              <w:rPr>
                <w:b/>
                <w:color w:val="243746"/>
                <w:sz w:val="16"/>
              </w:rPr>
              <w:t>不要写</w:t>
            </w:r>
          </w:p>
        </w:tc>
        <w:tc>
          <w:tcPr>
            <w:tcW w:type="dxa" w:w="5953"/>
            <w:shd w:fill="DCEAF3"/>
            <w:vAlign w:val="center"/>
          </w:tcPr>
          <w:p>
            <w:pPr>
              <w:jc w:val="center"/>
            </w:pPr>
            <w:r>
              <w:rPr>
                <w:b/>
                <w:color w:val="243746"/>
                <w:sz w:val="16"/>
              </w:rPr>
              <w:t>推荐写法</w:t>
            </w:r>
          </w:p>
        </w:tc>
      </w:tr>
      <w:tr>
        <w:tc>
          <w:tcPr>
            <w:tcW w:type="dxa" w:w="4139"/>
            <w:vAlign w:val="center"/>
          </w:tcPr>
          <w:p>
            <w:pPr>
              <w:spacing w:before="0" w:after="0" w:line="252" w:lineRule="auto"/>
            </w:pPr>
            <w:r>
              <w:rPr>
                <w:rFonts w:ascii="Noto Sans CJK SC" w:hAnsi="Noto Sans CJK SC"/>
                <w:sz w:val="16"/>
              </w:rPr>
              <w:t>physics-based wake forecasting center</w:t>
            </w:r>
          </w:p>
        </w:tc>
        <w:tc>
          <w:tcPr>
            <w:tcW w:type="dxa" w:w="5953"/>
            <w:vAlign w:val="center"/>
          </w:tcPr>
          <w:p>
            <w:pPr>
              <w:spacing w:before="0" w:after="0" w:line="252" w:lineRule="auto"/>
            </w:pPr>
            <w:r>
              <w:rPr>
                <w:rFonts w:ascii="Noto Sans CJK SC" w:hAnsi="Noto Sans CJK SC"/>
                <w:sz w:val="16"/>
              </w:rPr>
              <w:t>density-corrected empirical power-curve prior / weak physical prior</w:t>
            </w:r>
          </w:p>
        </w:tc>
      </w:tr>
      <w:tr>
        <w:tc>
          <w:tcPr>
            <w:tcW w:type="dxa" w:w="4139"/>
            <w:vAlign w:val="center"/>
          </w:tcPr>
          <w:p>
            <w:pPr>
              <w:spacing w:before="0" w:after="0" w:line="252" w:lineRule="auto"/>
            </w:pPr>
            <w:r>
              <w:rPr>
                <w:rFonts w:ascii="Noto Sans CJK SC" w:hAnsi="Noto Sans CJK SC"/>
                <w:sz w:val="16"/>
              </w:rPr>
              <w:t>OT-CFM（无 OT coupling）</w:t>
            </w:r>
          </w:p>
        </w:tc>
        <w:tc>
          <w:tcPr>
            <w:tcW w:type="dxa" w:w="5953"/>
            <w:vAlign w:val="center"/>
          </w:tcPr>
          <w:p>
            <w:pPr>
              <w:spacing w:before="0" w:after="0" w:line="252" w:lineRule="auto"/>
            </w:pPr>
            <w:r>
              <w:rPr>
                <w:rFonts w:ascii="Noto Sans CJK SC" w:hAnsi="Noto Sans CJK SC"/>
                <w:sz w:val="16"/>
              </w:rPr>
              <w:t>Conditional Flow Matching (CFM)</w:t>
            </w:r>
          </w:p>
        </w:tc>
      </w:tr>
      <w:tr>
        <w:tc>
          <w:tcPr>
            <w:tcW w:type="dxa" w:w="4139"/>
            <w:vAlign w:val="center"/>
          </w:tcPr>
          <w:p>
            <w:pPr>
              <w:spacing w:before="0" w:after="0" w:line="252" w:lineRule="auto"/>
            </w:pPr>
            <w:r>
              <w:rPr>
                <w:rFonts w:ascii="Noto Sans CJK SC" w:hAnsi="Noto Sans CJK SC"/>
                <w:sz w:val="16"/>
              </w:rPr>
              <w:t>latent compression</w:t>
            </w:r>
          </w:p>
        </w:tc>
        <w:tc>
          <w:tcPr>
            <w:tcW w:type="dxa" w:w="5953"/>
            <w:vAlign w:val="center"/>
          </w:tcPr>
          <w:p>
            <w:pPr>
              <w:spacing w:before="0" w:after="0" w:line="252" w:lineRule="auto"/>
            </w:pPr>
            <w:r>
              <w:rPr>
                <w:rFonts w:ascii="Noto Sans CJK SC" w:hAnsi="Noto Sans CJK SC"/>
                <w:sz w:val="16"/>
              </w:rPr>
              <w:t>删除；除非 dim(Z)&lt;dim(E) 且有真实 compression ratio</w:t>
            </w:r>
          </w:p>
        </w:tc>
      </w:tr>
      <w:tr>
        <w:tc>
          <w:tcPr>
            <w:tcW w:type="dxa" w:w="4139"/>
            <w:vAlign w:val="center"/>
          </w:tcPr>
          <w:p>
            <w:pPr>
              <w:spacing w:before="0" w:after="0" w:line="252" w:lineRule="auto"/>
            </w:pPr>
            <w:r>
              <w:rPr>
                <w:rFonts w:ascii="Noto Sans CJK SC" w:hAnsi="Noto Sans CJK SC"/>
                <w:sz w:val="16"/>
              </w:rPr>
              <w:t>guaranteed conditional coverage under OOD</w:t>
            </w:r>
          </w:p>
        </w:tc>
        <w:tc>
          <w:tcPr>
            <w:tcW w:type="dxa" w:w="5953"/>
            <w:vAlign w:val="center"/>
          </w:tcPr>
          <w:p>
            <w:pPr>
              <w:spacing w:before="0" w:after="0" w:line="252" w:lineRule="auto"/>
            </w:pPr>
            <w:r>
              <w:rPr>
                <w:rFonts w:ascii="Noto Sans CJK SC" w:hAnsi="Noto Sans CJK SC"/>
                <w:sz w:val="16"/>
              </w:rPr>
              <w:t>empirical calibration performance under specified normal/extreme/shift regimes</w:t>
            </w:r>
          </w:p>
        </w:tc>
      </w:tr>
      <w:tr>
        <w:tc>
          <w:tcPr>
            <w:tcW w:type="dxa" w:w="4139"/>
            <w:vAlign w:val="center"/>
          </w:tcPr>
          <w:p>
            <w:pPr>
              <w:spacing w:before="0" w:after="0" w:line="252" w:lineRule="auto"/>
            </w:pPr>
            <w:r>
              <w:rPr>
                <w:rFonts w:ascii="Noto Sans CJK SC" w:hAnsi="Noto Sans CJK SC"/>
                <w:sz w:val="16"/>
              </w:rPr>
              <w:t>calibrated joint scenarios</w:t>
            </w:r>
          </w:p>
        </w:tc>
        <w:tc>
          <w:tcPr>
            <w:tcW w:type="dxa" w:w="5953"/>
            <w:vAlign w:val="center"/>
          </w:tcPr>
          <w:p>
            <w:pPr>
              <w:spacing w:before="0" w:after="0" w:line="252" w:lineRule="auto"/>
            </w:pPr>
            <w:r>
              <w:rPr>
                <w:rFonts w:ascii="Noto Sans CJK SC" w:hAnsi="Noto Sans CJK SC"/>
                <w:sz w:val="16"/>
              </w:rPr>
              <w:t>CFM-generated joint scenarios with conformalized scenario-derived intervals</w:t>
            </w:r>
          </w:p>
        </w:tc>
      </w:tr>
      <w:tr>
        <w:tc>
          <w:tcPr>
            <w:tcW w:type="dxa" w:w="4139"/>
            <w:vAlign w:val="center"/>
          </w:tcPr>
          <w:p>
            <w:pPr>
              <w:spacing w:before="0" w:after="0" w:line="252" w:lineRule="auto"/>
            </w:pPr>
            <w:r>
              <w:rPr>
                <w:rFonts w:ascii="Noto Sans CJK SC" w:hAnsi="Noto Sans CJK SC"/>
                <w:sz w:val="16"/>
              </w:rPr>
              <w:t>grid security / grid stability risk</w:t>
            </w:r>
          </w:p>
        </w:tc>
        <w:tc>
          <w:tcPr>
            <w:tcW w:type="dxa" w:w="5953"/>
            <w:vAlign w:val="center"/>
          </w:tcPr>
          <w:p>
            <w:pPr>
              <w:spacing w:before="0" w:after="0" w:line="252" w:lineRule="auto"/>
            </w:pPr>
            <w:r>
              <w:rPr>
                <w:rFonts w:ascii="Noto Sans CJK SC" w:hAnsi="Noto Sans CJK SC"/>
                <w:sz w:val="16"/>
              </w:rPr>
              <w:t>wind-side operational/ramp/tail risk proxy</w:t>
            </w:r>
          </w:p>
        </w:tc>
      </w:tr>
      <w:tr>
        <w:tc>
          <w:tcPr>
            <w:tcW w:type="dxa" w:w="4139"/>
            <w:vAlign w:val="center"/>
          </w:tcPr>
          <w:p>
            <w:pPr>
              <w:spacing w:before="0" w:after="0" w:line="252" w:lineRule="auto"/>
            </w:pPr>
            <w:r>
              <w:rPr>
                <w:rFonts w:ascii="Noto Sans CJK SC" w:hAnsi="Noto Sans CJK SC"/>
                <w:sz w:val="16"/>
              </w:rPr>
              <w:t>actual reserve requirement / dispatch cost</w:t>
            </w:r>
          </w:p>
        </w:tc>
        <w:tc>
          <w:tcPr>
            <w:tcW w:type="dxa" w:w="5953"/>
            <w:vAlign w:val="center"/>
          </w:tcPr>
          <w:p>
            <w:pPr>
              <w:spacing w:before="0" w:after="0" w:line="252" w:lineRule="auto"/>
            </w:pPr>
            <w:r>
              <w:rPr>
                <w:rFonts w:ascii="Noto Sans CJK SC" w:hAnsi="Noto Sans CJK SC"/>
                <w:sz w:val="16"/>
              </w:rPr>
              <w:t>proxy shortage/tail loss / stylized decision cost</w:t>
            </w:r>
          </w:p>
        </w:tc>
      </w:tr>
      <w:tr>
        <w:tc>
          <w:tcPr>
            <w:tcW w:type="dxa" w:w="4139"/>
            <w:vAlign w:val="center"/>
          </w:tcPr>
          <w:p>
            <w:pPr>
              <w:spacing w:before="0" w:after="0" w:line="252" w:lineRule="auto"/>
            </w:pPr>
            <w:r>
              <w:rPr>
                <w:rFonts w:ascii="Noto Sans CJK SC" w:hAnsi="Noto Sans CJK SC"/>
                <w:sz w:val="16"/>
              </w:rPr>
              <w:t>risk-level prediction</w:t>
            </w:r>
          </w:p>
        </w:tc>
        <w:tc>
          <w:tcPr>
            <w:tcW w:type="dxa" w:w="5953"/>
            <w:vAlign w:val="center"/>
          </w:tcPr>
          <w:p>
            <w:pPr>
              <w:spacing w:before="0" w:after="0" w:line="252" w:lineRule="auto"/>
            </w:pPr>
            <w:r>
              <w:rPr>
                <w:rFonts w:ascii="Noto Sans CJK SC" w:hAnsi="Noto Sans CJK SC"/>
                <w:sz w:val="16"/>
              </w:rPr>
              <w:t>continuous risk indicators; optional rule-based warning category</w:t>
            </w:r>
          </w:p>
        </w:tc>
      </w:tr>
      <w:tr>
        <w:tc>
          <w:tcPr>
            <w:tcW w:type="dxa" w:w="4139"/>
            <w:vAlign w:val="center"/>
          </w:tcPr>
          <w:p>
            <w:pPr>
              <w:spacing w:before="0" w:after="0" w:line="252" w:lineRule="auto"/>
            </w:pPr>
            <w:r>
              <w:rPr>
                <w:rFonts w:ascii="Noto Sans CJK SC" w:hAnsi="Noto Sans CJK SC"/>
                <w:sz w:val="16"/>
              </w:rPr>
              <w:t>four-source uncertainty decomposition</w:t>
            </w:r>
          </w:p>
        </w:tc>
        <w:tc>
          <w:tcPr>
            <w:tcW w:type="dxa" w:w="5953"/>
            <w:vAlign w:val="center"/>
          </w:tcPr>
          <w:p>
            <w:pPr>
              <w:spacing w:before="0" w:after="0" w:line="252" w:lineRule="auto"/>
            </w:pPr>
            <w:r>
              <w:rPr>
                <w:rFonts w:ascii="Noto Sans CJK SC" w:hAnsi="Noto Sans CJK SC"/>
                <w:sz w:val="16"/>
              </w:rPr>
              <w:t>source-specific controlled sensitivity diagnostics</w:t>
            </w:r>
          </w:p>
        </w:tc>
      </w:tr>
      <w:tr>
        <w:tc>
          <w:tcPr>
            <w:tcW w:type="dxa" w:w="4139"/>
            <w:vAlign w:val="center"/>
          </w:tcPr>
          <w:p>
            <w:pPr>
              <w:spacing w:before="0" w:after="0" w:line="252" w:lineRule="auto"/>
            </w:pPr>
            <w:r>
              <w:rPr>
                <w:rFonts w:ascii="Noto Sans CJK SC" w:hAnsi="Noto Sans CJK SC"/>
                <w:sz w:val="16"/>
              </w:rPr>
              <w:t>causal contribution</w:t>
            </w:r>
          </w:p>
        </w:tc>
        <w:tc>
          <w:tcPr>
            <w:tcW w:type="dxa" w:w="5953"/>
            <w:vAlign w:val="center"/>
          </w:tcPr>
          <w:p>
            <w:pPr>
              <w:spacing w:before="0" w:after="0" w:line="252" w:lineRule="auto"/>
            </w:pPr>
            <w:r>
              <w:rPr>
                <w:rFonts w:ascii="Noto Sans CJK SC" w:hAnsi="Noto Sans CJK SC"/>
                <w:sz w:val="16"/>
              </w:rPr>
              <w:t>model attribution / sensitivity</w:t>
            </w:r>
          </w:p>
        </w:tc>
      </w:tr>
      <w:tr>
        <w:tc>
          <w:tcPr>
            <w:tcW w:type="dxa" w:w="4139"/>
            <w:vAlign w:val="center"/>
          </w:tcPr>
          <w:p>
            <w:pPr>
              <w:spacing w:before="0" w:after="0" w:line="252" w:lineRule="auto"/>
            </w:pPr>
            <w:r>
              <w:rPr>
                <w:rFonts w:ascii="Noto Sans CJK SC" w:hAnsi="Noto Sans CJK SC"/>
                <w:sz w:val="16"/>
              </w:rPr>
              <w:t>future NWP（对 ERA5）</w:t>
            </w:r>
          </w:p>
        </w:tc>
        <w:tc>
          <w:tcPr>
            <w:tcW w:type="dxa" w:w="5953"/>
            <w:vAlign w:val="center"/>
          </w:tcPr>
          <w:p>
            <w:pPr>
              <w:spacing w:before="0" w:after="0" w:line="252" w:lineRule="auto"/>
            </w:pPr>
            <w:r>
              <w:rPr>
                <w:rFonts w:ascii="Noto Sans CJK SC" w:hAnsi="Noto Sans CJK SC"/>
                <w:sz w:val="16"/>
              </w:rPr>
              <w:t>oracle/reanalysis weather upper bound；真实在线需 issue-time forecast</w:t>
            </w:r>
          </w:p>
        </w:tc>
      </w:tr>
    </w:tbl>
    <w:p>
      <w:pPr>
        <w:spacing w:after="0"/>
      </w:pPr>
    </w:p>
    <w:p>
      <w:pPr>
        <w:pStyle w:val="Heading1"/>
      </w:pPr>
      <w:r>
        <w:t>15. 可复现交付规范</w:t>
      </w:r>
    </w:p>
    <w:p>
      <w:pPr>
        <w:pStyle w:val="Heading2"/>
      </w:pPr>
      <w:r>
        <w:t>15.1 推荐项目结构</w:t>
      </w:r>
    </w:p>
    <w:p>
      <w:pPr>
        <w:pStyle w:val="FormulaBlock"/>
      </w:pPr>
      <w:r>
        <w:rPr>
          <w:rFonts w:ascii="DejaVu Sans Mono" w:hAnsi="DejaVu Sans Mono"/>
          <w:color w:val="233642"/>
          <w:sz w:val="18"/>
        </w:rPr>
        <w:t>prwarn/</w:t>
        <w:br/>
        <w:t xml:space="preserve">  data/raw/{sdwpf,kelmarsh,care,wind_toolkit}/</w:t>
        <w:br/>
        <w:t xml:space="preserve">  data/{interim,processed}/</w:t>
        <w:br/>
        <w:t xml:space="preserve">  configs/{datasets,models,experiments}/</w:t>
        <w:br/>
        <w:t xml:space="preserve">  src/data/{audit,grid,mask,features,window}.py</w:t>
        <w:br/>
        <w:t xml:space="preserve">  src/physics/{density,power_curve,wake_optional}.py</w:t>
        <w:br/>
        <w:t xml:space="preserve">  src/graphs/{geo,corr,directional,adaptive}.py</w:t>
        <w:br/>
        <w:t xml:space="preserve">  src/models/{backbone,flow,baselines}.py</w:t>
        <w:br/>
        <w:t xml:space="preserve">  src/calibration/{split,cqr,aci,context}.py</w:t>
        <w:br/>
        <w:t xml:space="preserve">  src/risk/{ramp,cvar,ood,data_quality}.py</w:t>
        <w:br/>
        <w:t xml:space="preserve">  src/explain/{ig,sensitivity}.py</w:t>
        <w:br/>
        <w:t xml:space="preserve">  src/eval/{point,probabilistic,joint,event,statistics}.py</w:t>
        <w:br/>
        <w:t xml:space="preserve">  outputs/{logs,predictions,metrics,tables,figures}/</w:t>
      </w:r>
    </w:p>
    <w:p>
      <w:pPr>
        <w:pStyle w:val="Heading2"/>
      </w:pPr>
      <w:r>
        <w:t>15.2 每次 run 必须保存</w:t>
      </w:r>
    </w:p>
    <w:p>
      <w:pPr>
        <w:pStyle w:val="ListBullet"/>
        <w:spacing w:after="30"/>
      </w:pPr>
      <w:r>
        <w:t>config.yaml / config hash；git_commit.txt；env.txt；stdout.log。</w:t>
      </w:r>
    </w:p>
    <w:p>
      <w:pPr>
        <w:pStyle w:val="ListBullet"/>
        <w:spacing w:after="30"/>
      </w:pPr>
      <w:r>
        <w:t>best.ckpt；predictions.npz；metrics.json；runtime.json。</w:t>
      </w:r>
    </w:p>
    <w:p>
      <w:pPr>
        <w:pStyle w:val="ListBullet"/>
        <w:spacing w:after="30"/>
      </w:pPr>
      <w:r>
        <w:t>dataset version/hash；split boundaries；event manifest；weather_protocol。</w:t>
      </w:r>
    </w:p>
    <w:p>
      <w:pPr>
        <w:pStyle w:val="ListBullet"/>
        <w:spacing w:after="30"/>
      </w:pPr>
      <w:r>
        <w:t>unit tests：future availability、split boundary、mask loss、graph train-only、scenario shape、conformal quantile。</w:t>
      </w:r>
    </w:p>
    <w:p>
      <w:pPr>
        <w:pStyle w:val="ListBullet"/>
        <w:spacing w:after="30"/>
      </w:pPr>
      <w:r>
        <w:t>论文每个数字可追溯到唯一 experiment ID；图表必须可由日志重生成，不手工填“预期值”。</w:t>
      </w:r>
    </w:p>
    <w:p>
      <w:pPr>
        <w:pStyle w:val="Heading1"/>
      </w:pPr>
      <w:r>
        <w:t>附录 A. 核心文献地图（沿用指导书编号）</w:t>
      </w:r>
    </w:p>
    <w:tbl>
      <w:tblPr>
        <w:tblStyle w:val="TableGrid"/>
        <w:tblW w:type="auto" w:w="0"/>
        <w:jc w:val="center"/>
        <w:tblLook w:firstColumn="1" w:firstRow="1" w:lastColumn="0" w:lastRow="0" w:noHBand="0" w:noVBand="1" w:val="04A0"/>
      </w:tblPr>
      <w:tblGrid>
        <w:gridCol w:w="3326"/>
        <w:gridCol w:w="3326"/>
        <w:gridCol w:w="3326"/>
      </w:tblGrid>
      <w:tr>
        <w:tc>
          <w:tcPr>
            <w:tcW w:type="dxa" w:w="1361"/>
            <w:shd w:fill="DCEAF3"/>
            <w:vAlign w:val="center"/>
          </w:tcPr>
          <w:p>
            <w:pPr>
              <w:jc w:val="center"/>
            </w:pPr>
            <w:r>
              <w:rPr>
                <w:b/>
                <w:color w:val="243746"/>
                <w:sz w:val="15"/>
              </w:rPr>
              <w:t>ID</w:t>
            </w:r>
          </w:p>
        </w:tc>
        <w:tc>
          <w:tcPr>
            <w:tcW w:type="dxa" w:w="4819"/>
            <w:shd w:fill="DCEAF3"/>
            <w:vAlign w:val="center"/>
          </w:tcPr>
          <w:p>
            <w:pPr>
              <w:jc w:val="center"/>
            </w:pPr>
            <w:r>
              <w:rPr>
                <w:b/>
                <w:color w:val="243746"/>
                <w:sz w:val="15"/>
              </w:rPr>
              <w:t>文献/系列</w:t>
            </w:r>
          </w:p>
        </w:tc>
        <w:tc>
          <w:tcPr>
            <w:tcW w:type="dxa" w:w="3912"/>
            <w:shd w:fill="DCEAF3"/>
            <w:vAlign w:val="center"/>
          </w:tcPr>
          <w:p>
            <w:pPr>
              <w:jc w:val="center"/>
            </w:pPr>
            <w:r>
              <w:rPr>
                <w:b/>
                <w:color w:val="243746"/>
                <w:sz w:val="15"/>
              </w:rPr>
              <w:t>本方案用途</w:t>
            </w:r>
          </w:p>
        </w:tc>
      </w:tr>
      <w:tr>
        <w:tc>
          <w:tcPr>
            <w:tcW w:type="dxa" w:w="1361"/>
            <w:vAlign w:val="center"/>
          </w:tcPr>
          <w:p>
            <w:pPr>
              <w:spacing w:before="0" w:after="0" w:line="252" w:lineRule="auto"/>
            </w:pPr>
            <w:r>
              <w:rPr>
                <w:rFonts w:ascii="Noto Sans CJK SC" w:hAnsi="Noto Sans CJK SC"/>
                <w:sz w:val="15"/>
              </w:rPr>
              <w:t>R1</w:t>
            </w:r>
          </w:p>
        </w:tc>
        <w:tc>
          <w:tcPr>
            <w:tcW w:type="dxa" w:w="4819"/>
            <w:vAlign w:val="center"/>
          </w:tcPr>
          <w:p>
            <w:pPr>
              <w:spacing w:before="0" w:after="0" w:line="252" w:lineRule="auto"/>
            </w:pPr>
            <w:r>
              <w:rPr>
                <w:rFonts w:ascii="Noto Sans CJK SC" w:hAnsi="Noto Sans CJK SC"/>
                <w:sz w:val="15"/>
              </w:rPr>
              <w:t>Zhou et al., Scientific Data 2024, SDWPF</w:t>
            </w:r>
          </w:p>
        </w:tc>
        <w:tc>
          <w:tcPr>
            <w:tcW w:type="dxa" w:w="3912"/>
            <w:vAlign w:val="center"/>
          </w:tcPr>
          <w:p>
            <w:pPr>
              <w:spacing w:before="0" w:after="0" w:line="252" w:lineRule="auto"/>
            </w:pPr>
            <w:r>
              <w:rPr>
                <w:rFonts w:ascii="Noto Sans CJK SC" w:hAnsi="Noto Sans CJK SC"/>
                <w:sz w:val="15"/>
              </w:rPr>
              <w:t>数据规格、ERA5 属性、official missing/unknown/abnormal caveats</w:t>
            </w:r>
          </w:p>
        </w:tc>
      </w:tr>
      <w:tr>
        <w:tc>
          <w:tcPr>
            <w:tcW w:type="dxa" w:w="1361"/>
            <w:vAlign w:val="center"/>
          </w:tcPr>
          <w:p>
            <w:pPr>
              <w:spacing w:before="0" w:after="0" w:line="252" w:lineRule="auto"/>
            </w:pPr>
            <w:r>
              <w:rPr>
                <w:rFonts w:ascii="Noto Sans CJK SC" w:hAnsi="Noto Sans CJK SC"/>
                <w:sz w:val="15"/>
              </w:rPr>
              <w:t>R3</w:t>
            </w:r>
          </w:p>
        </w:tc>
        <w:tc>
          <w:tcPr>
            <w:tcW w:type="dxa" w:w="4819"/>
            <w:vAlign w:val="center"/>
          </w:tcPr>
          <w:p>
            <w:pPr>
              <w:spacing w:before="0" w:after="0" w:line="252" w:lineRule="auto"/>
            </w:pPr>
            <w:r>
              <w:rPr>
                <w:rFonts w:ascii="Noto Sans CJK SC" w:hAnsi="Noto Sans CJK SC"/>
                <w:sz w:val="15"/>
              </w:rPr>
              <w:t>Che et al., Scientific Reports 2018, GRU-D</w:t>
            </w:r>
          </w:p>
        </w:tc>
        <w:tc>
          <w:tcPr>
            <w:tcW w:type="dxa" w:w="3912"/>
            <w:vAlign w:val="center"/>
          </w:tcPr>
          <w:p>
            <w:pPr>
              <w:spacing w:before="0" w:after="0" w:line="252" w:lineRule="auto"/>
            </w:pPr>
            <w:r>
              <w:rPr>
                <w:rFonts w:ascii="Noto Sans CJK SC" w:hAnsi="Noto Sans CJK SC"/>
                <w:sz w:val="15"/>
              </w:rPr>
              <w:t>X + mask + time interval / informative missingness</w:t>
            </w:r>
          </w:p>
        </w:tc>
      </w:tr>
      <w:tr>
        <w:tc>
          <w:tcPr>
            <w:tcW w:type="dxa" w:w="1361"/>
            <w:vAlign w:val="center"/>
          </w:tcPr>
          <w:p>
            <w:pPr>
              <w:spacing w:before="0" w:after="0" w:line="252" w:lineRule="auto"/>
            </w:pPr>
            <w:r>
              <w:rPr>
                <w:rFonts w:ascii="Noto Sans CJK SC" w:hAnsi="Noto Sans CJK SC"/>
                <w:sz w:val="15"/>
              </w:rPr>
              <w:t>R4</w:t>
            </w:r>
          </w:p>
        </w:tc>
        <w:tc>
          <w:tcPr>
            <w:tcW w:type="dxa" w:w="4819"/>
            <w:vAlign w:val="center"/>
          </w:tcPr>
          <w:p>
            <w:pPr>
              <w:spacing w:before="0" w:after="0" w:line="252" w:lineRule="auto"/>
            </w:pPr>
            <w:r>
              <w:rPr>
                <w:rFonts w:ascii="Noto Sans CJK SC" w:hAnsi="Noto Sans CJK SC"/>
                <w:sz w:val="15"/>
              </w:rPr>
              <w:t>Cao et al., NeurIPS 2018, BRITS</w:t>
            </w:r>
          </w:p>
        </w:tc>
        <w:tc>
          <w:tcPr>
            <w:tcW w:type="dxa" w:w="3912"/>
            <w:vAlign w:val="center"/>
          </w:tcPr>
          <w:p>
            <w:pPr>
              <w:spacing w:before="0" w:after="0" w:line="252" w:lineRule="auto"/>
            </w:pPr>
            <w:r>
              <w:rPr>
                <w:rFonts w:ascii="Noto Sans CJK SC" w:hAnsi="Noto Sans CJK SC"/>
                <w:sz w:val="15"/>
              </w:rPr>
              <w:t>时序缺失建模与插补</w:t>
            </w:r>
          </w:p>
        </w:tc>
      </w:tr>
      <w:tr>
        <w:tc>
          <w:tcPr>
            <w:tcW w:type="dxa" w:w="1361"/>
            <w:vAlign w:val="center"/>
          </w:tcPr>
          <w:p>
            <w:pPr>
              <w:spacing w:before="0" w:after="0" w:line="252" w:lineRule="auto"/>
            </w:pPr>
            <w:r>
              <w:rPr>
                <w:rFonts w:ascii="Noto Sans CJK SC" w:hAnsi="Noto Sans CJK SC"/>
                <w:sz w:val="15"/>
              </w:rPr>
              <w:t>R5</w:t>
            </w:r>
          </w:p>
        </w:tc>
        <w:tc>
          <w:tcPr>
            <w:tcW w:type="dxa" w:w="4819"/>
            <w:vAlign w:val="center"/>
          </w:tcPr>
          <w:p>
            <w:pPr>
              <w:spacing w:before="0" w:after="0" w:line="252" w:lineRule="auto"/>
            </w:pPr>
            <w:r>
              <w:rPr>
                <w:rFonts w:ascii="Noto Sans CJK SC" w:hAnsi="Noto Sans CJK SC"/>
                <w:sz w:val="15"/>
              </w:rPr>
              <w:t>Du et al., ESWA 2023, SAITS</w:t>
            </w:r>
          </w:p>
        </w:tc>
        <w:tc>
          <w:tcPr>
            <w:tcW w:type="dxa" w:w="3912"/>
            <w:vAlign w:val="center"/>
          </w:tcPr>
          <w:p>
            <w:pPr>
              <w:spacing w:before="0" w:after="0" w:line="252" w:lineRule="auto"/>
            </w:pPr>
            <w:r>
              <w:rPr>
                <w:rFonts w:ascii="Noto Sans CJK SC" w:hAnsi="Noto Sans CJK SC"/>
                <w:sz w:val="15"/>
              </w:rPr>
              <w:t>现代时序插补基线</w:t>
            </w:r>
          </w:p>
        </w:tc>
      </w:tr>
      <w:tr>
        <w:tc>
          <w:tcPr>
            <w:tcW w:type="dxa" w:w="1361"/>
            <w:vAlign w:val="center"/>
          </w:tcPr>
          <w:p>
            <w:pPr>
              <w:spacing w:before="0" w:after="0" w:line="252" w:lineRule="auto"/>
            </w:pPr>
            <w:r>
              <w:rPr>
                <w:rFonts w:ascii="Noto Sans CJK SC" w:hAnsi="Noto Sans CJK SC"/>
                <w:sz w:val="15"/>
              </w:rPr>
              <w:t>R6</w:t>
            </w:r>
          </w:p>
        </w:tc>
        <w:tc>
          <w:tcPr>
            <w:tcW w:type="dxa" w:w="4819"/>
            <w:vAlign w:val="center"/>
          </w:tcPr>
          <w:p>
            <w:pPr>
              <w:spacing w:before="0" w:after="0" w:line="252" w:lineRule="auto"/>
            </w:pPr>
            <w:r>
              <w:rPr>
                <w:rFonts w:ascii="Noto Sans CJK SC" w:hAnsi="Noto Sans CJK SC"/>
                <w:sz w:val="15"/>
              </w:rPr>
              <w:t>Power Curve Working Group, Wind Energy Science 2020 / IEC 61400-12-1</w:t>
            </w:r>
          </w:p>
        </w:tc>
        <w:tc>
          <w:tcPr>
            <w:tcW w:type="dxa" w:w="3912"/>
            <w:vAlign w:val="center"/>
          </w:tcPr>
          <w:p>
            <w:pPr>
              <w:spacing w:before="0" w:after="0" w:line="252" w:lineRule="auto"/>
            </w:pPr>
            <w:r>
              <w:rPr>
                <w:rFonts w:ascii="Noto Sans CJK SC" w:hAnsi="Noto Sans CJK SC"/>
                <w:sz w:val="15"/>
              </w:rPr>
              <w:t>等密度风速与经验功率曲线</w:t>
            </w:r>
          </w:p>
        </w:tc>
      </w:tr>
      <w:tr>
        <w:tc>
          <w:tcPr>
            <w:tcW w:type="dxa" w:w="1361"/>
            <w:vAlign w:val="center"/>
          </w:tcPr>
          <w:p>
            <w:pPr>
              <w:spacing w:before="0" w:after="0" w:line="252" w:lineRule="auto"/>
            </w:pPr>
            <w:r>
              <w:rPr>
                <w:rFonts w:ascii="Noto Sans CJK SC" w:hAnsi="Noto Sans CJK SC"/>
                <w:sz w:val="15"/>
              </w:rPr>
              <w:t>R7</w:t>
            </w:r>
          </w:p>
        </w:tc>
        <w:tc>
          <w:tcPr>
            <w:tcW w:type="dxa" w:w="4819"/>
            <w:vAlign w:val="center"/>
          </w:tcPr>
          <w:p>
            <w:pPr>
              <w:spacing w:before="0" w:after="0" w:line="252" w:lineRule="auto"/>
            </w:pPr>
            <w:r>
              <w:rPr>
                <w:rFonts w:ascii="Noto Sans CJK SC" w:hAnsi="Noto Sans CJK SC"/>
                <w:sz w:val="15"/>
              </w:rPr>
              <w:t>Graph WaveNet, IJCAI 2019</w:t>
            </w:r>
          </w:p>
        </w:tc>
        <w:tc>
          <w:tcPr>
            <w:tcW w:type="dxa" w:w="3912"/>
            <w:vAlign w:val="center"/>
          </w:tcPr>
          <w:p>
            <w:pPr>
              <w:spacing w:before="0" w:after="0" w:line="252" w:lineRule="auto"/>
            </w:pPr>
            <w:r>
              <w:rPr>
                <w:rFonts w:ascii="Noto Sans CJK SC" w:hAnsi="Noto Sans CJK SC"/>
                <w:sz w:val="15"/>
              </w:rPr>
              <w:t>adaptive adjacency</w:t>
            </w:r>
          </w:p>
        </w:tc>
      </w:tr>
      <w:tr>
        <w:tc>
          <w:tcPr>
            <w:tcW w:type="dxa" w:w="1361"/>
            <w:vAlign w:val="center"/>
          </w:tcPr>
          <w:p>
            <w:pPr>
              <w:spacing w:before="0" w:after="0" w:line="252" w:lineRule="auto"/>
            </w:pPr>
            <w:r>
              <w:rPr>
                <w:rFonts w:ascii="Noto Sans CJK SC" w:hAnsi="Noto Sans CJK SC"/>
                <w:sz w:val="15"/>
              </w:rPr>
              <w:t>R8</w:t>
            </w:r>
          </w:p>
        </w:tc>
        <w:tc>
          <w:tcPr>
            <w:tcW w:type="dxa" w:w="4819"/>
            <w:vAlign w:val="center"/>
          </w:tcPr>
          <w:p>
            <w:pPr>
              <w:spacing w:before="0" w:after="0" w:line="252" w:lineRule="auto"/>
            </w:pPr>
            <w:r>
              <w:rPr>
                <w:rFonts w:ascii="Noto Sans CJK SC" w:hAnsi="Noto Sans CJK SC"/>
                <w:sz w:val="15"/>
              </w:rPr>
              <w:t>AGCRN, NeurIPS 2020</w:t>
            </w:r>
          </w:p>
        </w:tc>
        <w:tc>
          <w:tcPr>
            <w:tcW w:type="dxa" w:w="3912"/>
            <w:vAlign w:val="center"/>
          </w:tcPr>
          <w:p>
            <w:pPr>
              <w:spacing w:before="0" w:after="0" w:line="252" w:lineRule="auto"/>
            </w:pPr>
            <w:r>
              <w:rPr>
                <w:rFonts w:ascii="Noto Sans CJK SC" w:hAnsi="Noto Sans CJK SC"/>
                <w:sz w:val="15"/>
              </w:rPr>
              <w:t>node-adaptive graph representation</w:t>
            </w:r>
          </w:p>
        </w:tc>
      </w:tr>
      <w:tr>
        <w:tc>
          <w:tcPr>
            <w:tcW w:type="dxa" w:w="1361"/>
            <w:vAlign w:val="center"/>
          </w:tcPr>
          <w:p>
            <w:pPr>
              <w:spacing w:before="0" w:after="0" w:line="252" w:lineRule="auto"/>
            </w:pPr>
            <w:r>
              <w:rPr>
                <w:rFonts w:ascii="Noto Sans CJK SC" w:hAnsi="Noto Sans CJK SC"/>
                <w:sz w:val="15"/>
              </w:rPr>
              <w:t>R9</w:t>
            </w:r>
          </w:p>
        </w:tc>
        <w:tc>
          <w:tcPr>
            <w:tcW w:type="dxa" w:w="4819"/>
            <w:vAlign w:val="center"/>
          </w:tcPr>
          <w:p>
            <w:pPr>
              <w:spacing w:before="0" w:after="0" w:line="252" w:lineRule="auto"/>
            </w:pPr>
            <w:r>
              <w:rPr>
                <w:rFonts w:ascii="Noto Sans CJK SC" w:hAnsi="Noto Sans CJK SC"/>
                <w:sz w:val="15"/>
              </w:rPr>
              <w:t>Zhao et al., ESWA 2024</w:t>
            </w:r>
          </w:p>
        </w:tc>
        <w:tc>
          <w:tcPr>
            <w:tcW w:type="dxa" w:w="3912"/>
            <w:vAlign w:val="center"/>
          </w:tcPr>
          <w:p>
            <w:pPr>
              <w:spacing w:before="0" w:after="0" w:line="252" w:lineRule="auto"/>
            </w:pPr>
            <w:r>
              <w:rPr>
                <w:rFonts w:ascii="Noto Sans CJK SC" w:hAnsi="Noto Sans CJK SC"/>
                <w:sz w:val="15"/>
              </w:rPr>
              <w:t>风电多图与动态组合</w:t>
            </w:r>
          </w:p>
        </w:tc>
      </w:tr>
      <w:tr>
        <w:tc>
          <w:tcPr>
            <w:tcW w:type="dxa" w:w="1361"/>
            <w:vAlign w:val="center"/>
          </w:tcPr>
          <w:p>
            <w:pPr>
              <w:spacing w:before="0" w:after="0" w:line="252" w:lineRule="auto"/>
            </w:pPr>
            <w:r>
              <w:rPr>
                <w:rFonts w:ascii="Noto Sans CJK SC" w:hAnsi="Noto Sans CJK SC"/>
                <w:sz w:val="15"/>
              </w:rPr>
              <w:t>R10/R11</w:t>
            </w:r>
          </w:p>
        </w:tc>
        <w:tc>
          <w:tcPr>
            <w:tcW w:type="dxa" w:w="4819"/>
            <w:vAlign w:val="center"/>
          </w:tcPr>
          <w:p>
            <w:pPr>
              <w:spacing w:before="0" w:after="0" w:line="252" w:lineRule="auto"/>
            </w:pPr>
            <w:r>
              <w:rPr>
                <w:rFonts w:ascii="Noto Sans CJK SC" w:hAnsi="Noto Sans CJK SC"/>
                <w:sz w:val="15"/>
              </w:rPr>
              <w:t>Energy / Applied Energy 2024 dynamic/directed graph studies</w:t>
            </w:r>
          </w:p>
        </w:tc>
        <w:tc>
          <w:tcPr>
            <w:tcW w:type="dxa" w:w="3912"/>
            <w:vAlign w:val="center"/>
          </w:tcPr>
          <w:p>
            <w:pPr>
              <w:spacing w:before="0" w:after="0" w:line="252" w:lineRule="auto"/>
            </w:pPr>
            <w:r>
              <w:rPr>
                <w:rFonts w:ascii="Noto Sans CJK SC" w:hAnsi="Noto Sans CJK SC"/>
                <w:sz w:val="15"/>
              </w:rPr>
              <w:t>风向相关动态图与有向空间关系</w:t>
            </w:r>
          </w:p>
        </w:tc>
      </w:tr>
      <w:tr>
        <w:tc>
          <w:tcPr>
            <w:tcW w:type="dxa" w:w="1361"/>
            <w:vAlign w:val="center"/>
          </w:tcPr>
          <w:p>
            <w:pPr>
              <w:spacing w:before="0" w:after="0" w:line="252" w:lineRule="auto"/>
            </w:pPr>
            <w:r>
              <w:rPr>
                <w:rFonts w:ascii="Noto Sans CJK SC" w:hAnsi="Noto Sans CJK SC"/>
                <w:sz w:val="15"/>
              </w:rPr>
              <w:t>R12/R13</w:t>
            </w:r>
          </w:p>
        </w:tc>
        <w:tc>
          <w:tcPr>
            <w:tcW w:type="dxa" w:w="4819"/>
            <w:vAlign w:val="center"/>
          </w:tcPr>
          <w:p>
            <w:pPr>
              <w:spacing w:before="0" w:after="0" w:line="252" w:lineRule="auto"/>
            </w:pPr>
            <w:r>
              <w:rPr>
                <w:rFonts w:ascii="Noto Sans CJK SC" w:hAnsi="Noto Sans CJK SC"/>
                <w:sz w:val="15"/>
              </w:rPr>
              <w:t>DTU wake review / Applied Energy wake review</w:t>
            </w:r>
          </w:p>
        </w:tc>
        <w:tc>
          <w:tcPr>
            <w:tcW w:type="dxa" w:w="3912"/>
            <w:vAlign w:val="center"/>
          </w:tcPr>
          <w:p>
            <w:pPr>
              <w:spacing w:before="0" w:after="0" w:line="252" w:lineRule="auto"/>
            </w:pPr>
            <w:r>
              <w:rPr>
                <w:rFonts w:ascii="Noto Sans CJK SC" w:hAnsi="Noto Sans CJK SC"/>
                <w:sz w:val="15"/>
              </w:rPr>
              <w:t>Jensen 等 wake 模型适用性和参数风险</w:t>
            </w:r>
          </w:p>
        </w:tc>
      </w:tr>
      <w:tr>
        <w:tc>
          <w:tcPr>
            <w:tcW w:type="dxa" w:w="1361"/>
            <w:vAlign w:val="center"/>
          </w:tcPr>
          <w:p>
            <w:pPr>
              <w:spacing w:before="0" w:after="0" w:line="252" w:lineRule="auto"/>
            </w:pPr>
            <w:r>
              <w:rPr>
                <w:rFonts w:ascii="Noto Sans CJK SC" w:hAnsi="Noto Sans CJK SC"/>
                <w:sz w:val="15"/>
              </w:rPr>
              <w:t>R14</w:t>
            </w:r>
          </w:p>
        </w:tc>
        <w:tc>
          <w:tcPr>
            <w:tcW w:type="dxa" w:w="4819"/>
            <w:vAlign w:val="center"/>
          </w:tcPr>
          <w:p>
            <w:pPr>
              <w:spacing w:before="0" w:after="0" w:line="252" w:lineRule="auto"/>
            </w:pPr>
            <w:r>
              <w:rPr>
                <w:rFonts w:ascii="Noto Sans CJK SC" w:hAnsi="Noto Sans CJK SC"/>
                <w:sz w:val="15"/>
              </w:rPr>
              <w:t>Lipman et al., ICLR 2023, Flow Matching</w:t>
            </w:r>
          </w:p>
        </w:tc>
        <w:tc>
          <w:tcPr>
            <w:tcW w:type="dxa" w:w="3912"/>
            <w:vAlign w:val="center"/>
          </w:tcPr>
          <w:p>
            <w:pPr>
              <w:spacing w:before="0" w:after="0" w:line="252" w:lineRule="auto"/>
            </w:pPr>
            <w:r>
              <w:rPr>
                <w:rFonts w:ascii="Noto Sans CJK SC" w:hAnsi="Noto Sans CJK SC"/>
                <w:sz w:val="15"/>
              </w:rPr>
              <w:t>FM/CFM 基础</w:t>
            </w:r>
          </w:p>
        </w:tc>
      </w:tr>
      <w:tr>
        <w:tc>
          <w:tcPr>
            <w:tcW w:type="dxa" w:w="1361"/>
            <w:vAlign w:val="center"/>
          </w:tcPr>
          <w:p>
            <w:pPr>
              <w:spacing w:before="0" w:after="0" w:line="252" w:lineRule="auto"/>
            </w:pPr>
            <w:r>
              <w:rPr>
                <w:rFonts w:ascii="Noto Sans CJK SC" w:hAnsi="Noto Sans CJK SC"/>
                <w:sz w:val="15"/>
              </w:rPr>
              <w:t>R15</w:t>
            </w:r>
          </w:p>
        </w:tc>
        <w:tc>
          <w:tcPr>
            <w:tcW w:type="dxa" w:w="4819"/>
            <w:vAlign w:val="center"/>
          </w:tcPr>
          <w:p>
            <w:pPr>
              <w:spacing w:before="0" w:after="0" w:line="252" w:lineRule="auto"/>
            </w:pPr>
            <w:r>
              <w:rPr>
                <w:rFonts w:ascii="Noto Sans CJK SC" w:hAnsi="Noto Sans CJK SC"/>
                <w:sz w:val="15"/>
              </w:rPr>
              <w:t>Tong et al., TMLR 2024</w:t>
            </w:r>
          </w:p>
        </w:tc>
        <w:tc>
          <w:tcPr>
            <w:tcW w:type="dxa" w:w="3912"/>
            <w:vAlign w:val="center"/>
          </w:tcPr>
          <w:p>
            <w:pPr>
              <w:spacing w:before="0" w:after="0" w:line="252" w:lineRule="auto"/>
            </w:pPr>
            <w:r>
              <w:rPr>
                <w:rFonts w:ascii="Noto Sans CJK SC" w:hAnsi="Noto Sans CJK SC"/>
                <w:sz w:val="15"/>
              </w:rPr>
              <w:t>genuine minibatch OT coupling / OT-CFM</w:t>
            </w:r>
          </w:p>
        </w:tc>
      </w:tr>
      <w:tr>
        <w:tc>
          <w:tcPr>
            <w:tcW w:type="dxa" w:w="1361"/>
            <w:vAlign w:val="center"/>
          </w:tcPr>
          <w:p>
            <w:pPr>
              <w:spacing w:before="0" w:after="0" w:line="252" w:lineRule="auto"/>
            </w:pPr>
            <w:r>
              <w:rPr>
                <w:rFonts w:ascii="Noto Sans CJK SC" w:hAnsi="Noto Sans CJK SC"/>
                <w:sz w:val="15"/>
              </w:rPr>
              <w:t>R16</w:t>
            </w:r>
          </w:p>
        </w:tc>
        <w:tc>
          <w:tcPr>
            <w:tcW w:type="dxa" w:w="4819"/>
            <w:vAlign w:val="center"/>
          </w:tcPr>
          <w:p>
            <w:pPr>
              <w:spacing w:before="0" w:after="0" w:line="252" w:lineRule="auto"/>
            </w:pPr>
            <w:r>
              <w:rPr>
                <w:rFonts w:ascii="Noto Sans CJK SC" w:hAnsi="Noto Sans CJK SC"/>
                <w:sz w:val="15"/>
              </w:rPr>
              <w:t>Kollovieh et al., ICLR 2025, TSFlow</w:t>
            </w:r>
          </w:p>
        </w:tc>
        <w:tc>
          <w:tcPr>
            <w:tcW w:type="dxa" w:w="3912"/>
            <w:vAlign w:val="center"/>
          </w:tcPr>
          <w:p>
            <w:pPr>
              <w:spacing w:before="0" w:after="0" w:line="252" w:lineRule="auto"/>
            </w:pPr>
            <w:r>
              <w:rPr>
                <w:rFonts w:ascii="Noto Sans CJK SC" w:hAnsi="Noto Sans CJK SC"/>
                <w:sz w:val="15"/>
              </w:rPr>
              <w:t>CFM 在概率时间序列预测中的现代证据</w:t>
            </w:r>
          </w:p>
        </w:tc>
      </w:tr>
      <w:tr>
        <w:tc>
          <w:tcPr>
            <w:tcW w:type="dxa" w:w="1361"/>
            <w:vAlign w:val="center"/>
          </w:tcPr>
          <w:p>
            <w:pPr>
              <w:spacing w:before="0" w:after="0" w:line="252" w:lineRule="auto"/>
            </w:pPr>
            <w:r>
              <w:rPr>
                <w:rFonts w:ascii="Noto Sans CJK SC" w:hAnsi="Noto Sans CJK SC"/>
                <w:sz w:val="15"/>
              </w:rPr>
              <w:t>R19</w:t>
            </w:r>
          </w:p>
        </w:tc>
        <w:tc>
          <w:tcPr>
            <w:tcW w:type="dxa" w:w="4819"/>
            <w:vAlign w:val="center"/>
          </w:tcPr>
          <w:p>
            <w:pPr>
              <w:spacing w:before="0" w:after="0" w:line="252" w:lineRule="auto"/>
            </w:pPr>
            <w:r>
              <w:rPr>
                <w:rFonts w:ascii="Noto Sans CJK SC" w:hAnsi="Noto Sans CJK SC"/>
                <w:sz w:val="15"/>
              </w:rPr>
              <w:t>Romano et al., NeurIPS 2019, CQR</w:t>
            </w:r>
          </w:p>
        </w:tc>
        <w:tc>
          <w:tcPr>
            <w:tcW w:type="dxa" w:w="3912"/>
            <w:vAlign w:val="center"/>
          </w:tcPr>
          <w:p>
            <w:pPr>
              <w:spacing w:before="0" w:after="0" w:line="252" w:lineRule="auto"/>
            </w:pPr>
            <w:r>
              <w:rPr>
                <w:rFonts w:ascii="Noto Sans CJK SC" w:hAnsi="Noto Sans CJK SC"/>
                <w:sz w:val="15"/>
              </w:rPr>
              <w:t>Conformalized Quantile Regression</w:t>
            </w:r>
          </w:p>
        </w:tc>
      </w:tr>
      <w:tr>
        <w:tc>
          <w:tcPr>
            <w:tcW w:type="dxa" w:w="1361"/>
            <w:vAlign w:val="center"/>
          </w:tcPr>
          <w:p>
            <w:pPr>
              <w:spacing w:before="0" w:after="0" w:line="252" w:lineRule="auto"/>
            </w:pPr>
            <w:r>
              <w:rPr>
                <w:rFonts w:ascii="Noto Sans CJK SC" w:hAnsi="Noto Sans CJK SC"/>
                <w:sz w:val="15"/>
              </w:rPr>
              <w:t>R20</w:t>
            </w:r>
          </w:p>
        </w:tc>
        <w:tc>
          <w:tcPr>
            <w:tcW w:type="dxa" w:w="4819"/>
            <w:vAlign w:val="center"/>
          </w:tcPr>
          <w:p>
            <w:pPr>
              <w:spacing w:before="0" w:after="0" w:line="252" w:lineRule="auto"/>
            </w:pPr>
            <w:r>
              <w:rPr>
                <w:rFonts w:ascii="Noto Sans CJK SC" w:hAnsi="Noto Sans CJK SC"/>
                <w:sz w:val="15"/>
              </w:rPr>
              <w:t>Tibshirani et al., NeurIPS 2019</w:t>
            </w:r>
          </w:p>
        </w:tc>
        <w:tc>
          <w:tcPr>
            <w:tcW w:type="dxa" w:w="3912"/>
            <w:vAlign w:val="center"/>
          </w:tcPr>
          <w:p>
            <w:pPr>
              <w:spacing w:before="0" w:after="0" w:line="252" w:lineRule="auto"/>
            </w:pPr>
            <w:r>
              <w:rPr>
                <w:rFonts w:ascii="Noto Sans CJK SC" w:hAnsi="Noto Sans CJK SC"/>
                <w:sz w:val="15"/>
              </w:rPr>
              <w:t>covariate-shift density-ratio weighted conformal</w:t>
            </w:r>
          </w:p>
        </w:tc>
      </w:tr>
      <w:tr>
        <w:tc>
          <w:tcPr>
            <w:tcW w:type="dxa" w:w="1361"/>
            <w:vAlign w:val="center"/>
          </w:tcPr>
          <w:p>
            <w:pPr>
              <w:spacing w:before="0" w:after="0" w:line="252" w:lineRule="auto"/>
            </w:pPr>
            <w:r>
              <w:rPr>
                <w:rFonts w:ascii="Noto Sans CJK SC" w:hAnsi="Noto Sans CJK SC"/>
                <w:sz w:val="15"/>
              </w:rPr>
              <w:t>R21</w:t>
            </w:r>
          </w:p>
        </w:tc>
        <w:tc>
          <w:tcPr>
            <w:tcW w:type="dxa" w:w="4819"/>
            <w:vAlign w:val="center"/>
          </w:tcPr>
          <w:p>
            <w:pPr>
              <w:spacing w:before="0" w:after="0" w:line="252" w:lineRule="auto"/>
            </w:pPr>
            <w:r>
              <w:rPr>
                <w:rFonts w:ascii="Noto Sans CJK SC" w:hAnsi="Noto Sans CJK SC"/>
                <w:sz w:val="15"/>
              </w:rPr>
              <w:t>Gibbs &amp; Candès, NeurIPS 2021</w:t>
            </w:r>
          </w:p>
        </w:tc>
        <w:tc>
          <w:tcPr>
            <w:tcW w:type="dxa" w:w="3912"/>
            <w:vAlign w:val="center"/>
          </w:tcPr>
          <w:p>
            <w:pPr>
              <w:spacing w:before="0" w:after="0" w:line="252" w:lineRule="auto"/>
            </w:pPr>
            <w:r>
              <w:rPr>
                <w:rFonts w:ascii="Noto Sans CJK SC" w:hAnsi="Noto Sans CJK SC"/>
                <w:sz w:val="15"/>
              </w:rPr>
              <w:t>Adaptive Conformal Inference</w:t>
            </w:r>
          </w:p>
        </w:tc>
      </w:tr>
      <w:tr>
        <w:tc>
          <w:tcPr>
            <w:tcW w:type="dxa" w:w="1361"/>
            <w:vAlign w:val="center"/>
          </w:tcPr>
          <w:p>
            <w:pPr>
              <w:spacing w:before="0" w:after="0" w:line="252" w:lineRule="auto"/>
            </w:pPr>
            <w:r>
              <w:rPr>
                <w:rFonts w:ascii="Noto Sans CJK SC" w:hAnsi="Noto Sans CJK SC"/>
                <w:sz w:val="15"/>
              </w:rPr>
              <w:t>R22/R23</w:t>
            </w:r>
          </w:p>
        </w:tc>
        <w:tc>
          <w:tcPr>
            <w:tcW w:type="dxa" w:w="4819"/>
            <w:vAlign w:val="center"/>
          </w:tcPr>
          <w:p>
            <w:pPr>
              <w:spacing w:before="0" w:after="0" w:line="252" w:lineRule="auto"/>
            </w:pPr>
            <w:r>
              <w:rPr>
                <w:rFonts w:ascii="Noto Sans CJK SC" w:hAnsi="Noto Sans CJK SC"/>
                <w:sz w:val="15"/>
              </w:rPr>
              <w:t>dependent conformal / conditional coverage limits</w:t>
            </w:r>
          </w:p>
        </w:tc>
        <w:tc>
          <w:tcPr>
            <w:tcW w:type="dxa" w:w="3912"/>
            <w:vAlign w:val="center"/>
          </w:tcPr>
          <w:p>
            <w:pPr>
              <w:spacing w:before="0" w:after="0" w:line="252" w:lineRule="auto"/>
            </w:pPr>
            <w:r>
              <w:rPr>
                <w:rFonts w:ascii="Noto Sans CJK SC" w:hAnsi="Noto Sans CJK SC"/>
                <w:sz w:val="15"/>
              </w:rPr>
              <w:t>时序依赖和条件覆盖边界</w:t>
            </w:r>
          </w:p>
        </w:tc>
      </w:tr>
      <w:tr>
        <w:tc>
          <w:tcPr>
            <w:tcW w:type="dxa" w:w="1361"/>
            <w:vAlign w:val="center"/>
          </w:tcPr>
          <w:p>
            <w:pPr>
              <w:spacing w:before="0" w:after="0" w:line="252" w:lineRule="auto"/>
            </w:pPr>
            <w:r>
              <w:rPr>
                <w:rFonts w:ascii="Noto Sans CJK SC" w:hAnsi="Noto Sans CJK SC"/>
                <w:sz w:val="15"/>
              </w:rPr>
              <w:t>R24</w:t>
            </w:r>
          </w:p>
        </w:tc>
        <w:tc>
          <w:tcPr>
            <w:tcW w:type="dxa" w:w="4819"/>
            <w:vAlign w:val="center"/>
          </w:tcPr>
          <w:p>
            <w:pPr>
              <w:spacing w:before="0" w:after="0" w:line="252" w:lineRule="auto"/>
            </w:pPr>
            <w:r>
              <w:rPr>
                <w:rFonts w:ascii="Noto Sans CJK SC" w:hAnsi="Noto Sans CJK SC"/>
                <w:sz w:val="15"/>
              </w:rPr>
              <w:t>Lakshminarayanan et al., NeurIPS 2017</w:t>
            </w:r>
          </w:p>
        </w:tc>
        <w:tc>
          <w:tcPr>
            <w:tcW w:type="dxa" w:w="3912"/>
            <w:vAlign w:val="center"/>
          </w:tcPr>
          <w:p>
            <w:pPr>
              <w:spacing w:before="0" w:after="0" w:line="252" w:lineRule="auto"/>
            </w:pPr>
            <w:r>
              <w:rPr>
                <w:rFonts w:ascii="Noto Sans CJK SC" w:hAnsi="Noto Sans CJK SC"/>
                <w:sz w:val="15"/>
              </w:rPr>
              <w:t>Deep Ensemble uncertainty proxy</w:t>
            </w:r>
          </w:p>
        </w:tc>
      </w:tr>
      <w:tr>
        <w:tc>
          <w:tcPr>
            <w:tcW w:type="dxa" w:w="1361"/>
            <w:vAlign w:val="center"/>
          </w:tcPr>
          <w:p>
            <w:pPr>
              <w:spacing w:before="0" w:after="0" w:line="252" w:lineRule="auto"/>
            </w:pPr>
            <w:r>
              <w:rPr>
                <w:rFonts w:ascii="Noto Sans CJK SC" w:hAnsi="Noto Sans CJK SC"/>
                <w:sz w:val="15"/>
              </w:rPr>
              <w:t>R26/R28</w:t>
            </w:r>
          </w:p>
        </w:tc>
        <w:tc>
          <w:tcPr>
            <w:tcW w:type="dxa" w:w="4819"/>
            <w:vAlign w:val="center"/>
          </w:tcPr>
          <w:p>
            <w:pPr>
              <w:spacing w:before="0" w:after="0" w:line="252" w:lineRule="auto"/>
            </w:pPr>
            <w:r>
              <w:rPr>
                <w:rFonts w:ascii="Noto Sans CJK SC" w:hAnsi="Noto Sans CJK SC"/>
                <w:sz w:val="15"/>
              </w:rPr>
              <w:t>Gneiting &amp; Raftery / Scheuerer &amp; Hamill</w:t>
            </w:r>
          </w:p>
        </w:tc>
        <w:tc>
          <w:tcPr>
            <w:tcW w:type="dxa" w:w="3912"/>
            <w:vAlign w:val="center"/>
          </w:tcPr>
          <w:p>
            <w:pPr>
              <w:spacing w:before="0" w:after="0" w:line="252" w:lineRule="auto"/>
            </w:pPr>
            <w:r>
              <w:rPr>
                <w:rFonts w:ascii="Noto Sans CJK SC" w:hAnsi="Noto Sans CJK SC"/>
                <w:sz w:val="15"/>
              </w:rPr>
              <w:t>proper scores, Energy Score, Variogram Score</w:t>
            </w:r>
          </w:p>
        </w:tc>
      </w:tr>
      <w:tr>
        <w:tc>
          <w:tcPr>
            <w:tcW w:type="dxa" w:w="1361"/>
            <w:vAlign w:val="center"/>
          </w:tcPr>
          <w:p>
            <w:pPr>
              <w:spacing w:before="0" w:after="0" w:line="252" w:lineRule="auto"/>
            </w:pPr>
            <w:r>
              <w:rPr>
                <w:rFonts w:ascii="Noto Sans CJK SC" w:hAnsi="Noto Sans CJK SC"/>
                <w:sz w:val="15"/>
              </w:rPr>
              <w:t>R29/R30</w:t>
            </w:r>
          </w:p>
        </w:tc>
        <w:tc>
          <w:tcPr>
            <w:tcW w:type="dxa" w:w="4819"/>
            <w:vAlign w:val="center"/>
          </w:tcPr>
          <w:p>
            <w:pPr>
              <w:spacing w:before="0" w:after="0" w:line="252" w:lineRule="auto"/>
            </w:pPr>
            <w:r>
              <w:rPr>
                <w:rFonts w:ascii="Noto Sans CJK SC" w:hAnsi="Noto Sans CJK SC"/>
                <w:sz w:val="15"/>
              </w:rPr>
              <w:t>Ramp review / IEEE TSTE 2026</w:t>
            </w:r>
          </w:p>
        </w:tc>
        <w:tc>
          <w:tcPr>
            <w:tcW w:type="dxa" w:w="3912"/>
            <w:vAlign w:val="center"/>
          </w:tcPr>
          <w:p>
            <w:pPr>
              <w:spacing w:before="0" w:after="0" w:line="252" w:lineRule="auto"/>
            </w:pPr>
            <w:r>
              <w:rPr>
                <w:rFonts w:ascii="Noto Sans CJK SC" w:hAnsi="Noto Sans CJK SC"/>
                <w:sz w:val="15"/>
              </w:rPr>
              <w:t>ramp 定义与概率 forecasting</w:t>
            </w:r>
          </w:p>
        </w:tc>
      </w:tr>
      <w:tr>
        <w:tc>
          <w:tcPr>
            <w:tcW w:type="dxa" w:w="1361"/>
            <w:vAlign w:val="center"/>
          </w:tcPr>
          <w:p>
            <w:pPr>
              <w:spacing w:before="0" w:after="0" w:line="252" w:lineRule="auto"/>
            </w:pPr>
            <w:r>
              <w:rPr>
                <w:rFonts w:ascii="Noto Sans CJK SC" w:hAnsi="Noto Sans CJK SC"/>
                <w:sz w:val="15"/>
              </w:rPr>
              <w:t>R31</w:t>
            </w:r>
          </w:p>
        </w:tc>
        <w:tc>
          <w:tcPr>
            <w:tcW w:type="dxa" w:w="4819"/>
            <w:vAlign w:val="center"/>
          </w:tcPr>
          <w:p>
            <w:pPr>
              <w:spacing w:before="0" w:after="0" w:line="252" w:lineRule="auto"/>
            </w:pPr>
            <w:r>
              <w:rPr>
                <w:rFonts w:ascii="Noto Sans CJK SC" w:hAnsi="Noto Sans CJK SC"/>
                <w:sz w:val="15"/>
              </w:rPr>
              <w:t>Rockafellar &amp; Uryasev</w:t>
            </w:r>
          </w:p>
        </w:tc>
        <w:tc>
          <w:tcPr>
            <w:tcW w:type="dxa" w:w="3912"/>
            <w:vAlign w:val="center"/>
          </w:tcPr>
          <w:p>
            <w:pPr>
              <w:spacing w:before="0" w:after="0" w:line="252" w:lineRule="auto"/>
            </w:pPr>
            <w:r>
              <w:rPr>
                <w:rFonts w:ascii="Noto Sans CJK SC" w:hAnsi="Noto Sans CJK SC"/>
                <w:sz w:val="15"/>
              </w:rPr>
              <w:t>CVaR</w:t>
            </w:r>
          </w:p>
        </w:tc>
      </w:tr>
      <w:tr>
        <w:tc>
          <w:tcPr>
            <w:tcW w:type="dxa" w:w="1361"/>
            <w:vAlign w:val="center"/>
          </w:tcPr>
          <w:p>
            <w:pPr>
              <w:spacing w:before="0" w:after="0" w:line="252" w:lineRule="auto"/>
            </w:pPr>
            <w:r>
              <w:rPr>
                <w:rFonts w:ascii="Noto Sans CJK SC" w:hAnsi="Noto Sans CJK SC"/>
                <w:sz w:val="15"/>
              </w:rPr>
              <w:t>R32/R33</w:t>
            </w:r>
          </w:p>
        </w:tc>
        <w:tc>
          <w:tcPr>
            <w:tcW w:type="dxa" w:w="4819"/>
            <w:vAlign w:val="center"/>
          </w:tcPr>
          <w:p>
            <w:pPr>
              <w:spacing w:before="0" w:after="0" w:line="252" w:lineRule="auto"/>
            </w:pPr>
            <w:r>
              <w:rPr>
                <w:rFonts w:ascii="Noto Sans CJK SC" w:hAnsi="Noto Sans CJK SC"/>
                <w:sz w:val="15"/>
              </w:rPr>
              <w:t>Integrated Gradients / Sobol</w:t>
            </w:r>
          </w:p>
        </w:tc>
        <w:tc>
          <w:tcPr>
            <w:tcW w:type="dxa" w:w="3912"/>
            <w:vAlign w:val="center"/>
          </w:tcPr>
          <w:p>
            <w:pPr>
              <w:spacing w:before="0" w:after="0" w:line="252" w:lineRule="auto"/>
            </w:pPr>
            <w:r>
              <w:rPr>
                <w:rFonts w:ascii="Noto Sans CJK SC" w:hAnsi="Noto Sans CJK SC"/>
                <w:sz w:val="15"/>
              </w:rPr>
              <w:t>模型解释与敏感性</w:t>
            </w:r>
          </w:p>
        </w:tc>
      </w:tr>
      <w:tr>
        <w:tc>
          <w:tcPr>
            <w:tcW w:type="dxa" w:w="1361"/>
            <w:vAlign w:val="center"/>
          </w:tcPr>
          <w:p>
            <w:pPr>
              <w:spacing w:before="0" w:after="0" w:line="252" w:lineRule="auto"/>
            </w:pPr>
            <w:r>
              <w:rPr>
                <w:rFonts w:ascii="Noto Sans CJK SC" w:hAnsi="Noto Sans CJK SC"/>
                <w:sz w:val="15"/>
              </w:rPr>
              <w:t>R35</w:t>
            </w:r>
          </w:p>
        </w:tc>
        <w:tc>
          <w:tcPr>
            <w:tcW w:type="dxa" w:w="4819"/>
            <w:vAlign w:val="center"/>
          </w:tcPr>
          <w:p>
            <w:pPr>
              <w:spacing w:before="0" w:after="0" w:line="252" w:lineRule="auto"/>
            </w:pPr>
            <w:r>
              <w:rPr>
                <w:rFonts w:ascii="Noto Sans CJK SC" w:hAnsi="Noto Sans CJK SC"/>
                <w:sz w:val="15"/>
              </w:rPr>
              <w:t>Diebold &amp; Mariano</w:t>
            </w:r>
          </w:p>
        </w:tc>
        <w:tc>
          <w:tcPr>
            <w:tcW w:type="dxa" w:w="3912"/>
            <w:vAlign w:val="center"/>
          </w:tcPr>
          <w:p>
            <w:pPr>
              <w:spacing w:before="0" w:after="0" w:line="252" w:lineRule="auto"/>
            </w:pPr>
            <w:r>
              <w:rPr>
                <w:rFonts w:ascii="Noto Sans CJK SC" w:hAnsi="Noto Sans CJK SC"/>
                <w:sz w:val="15"/>
              </w:rPr>
              <w:t>预测差异统计检验</w:t>
            </w:r>
          </w:p>
        </w:tc>
      </w:tr>
      <w:tr>
        <w:tc>
          <w:tcPr>
            <w:tcW w:type="dxa" w:w="1361"/>
            <w:vAlign w:val="center"/>
          </w:tcPr>
          <w:p>
            <w:pPr>
              <w:spacing w:before="0" w:after="0" w:line="252" w:lineRule="auto"/>
            </w:pPr>
            <w:r>
              <w:rPr>
                <w:rFonts w:ascii="Noto Sans CJK SC" w:hAnsi="Noto Sans CJK SC"/>
                <w:sz w:val="15"/>
              </w:rPr>
              <w:t>R36/R37</w:t>
            </w:r>
          </w:p>
        </w:tc>
        <w:tc>
          <w:tcPr>
            <w:tcW w:type="dxa" w:w="4819"/>
            <w:vAlign w:val="center"/>
          </w:tcPr>
          <w:p>
            <w:pPr>
              <w:spacing w:before="0" w:after="0" w:line="252" w:lineRule="auto"/>
            </w:pPr>
            <w:r>
              <w:rPr>
                <w:rFonts w:ascii="Noto Sans CJK SC" w:hAnsi="Noto Sans CJK SC"/>
                <w:sz w:val="15"/>
              </w:rPr>
              <w:t>WIND Toolkit / WTK-LED</w:t>
            </w:r>
          </w:p>
        </w:tc>
        <w:tc>
          <w:tcPr>
            <w:tcW w:type="dxa" w:w="3912"/>
            <w:vAlign w:val="center"/>
          </w:tcPr>
          <w:p>
            <w:pPr>
              <w:spacing w:before="0" w:after="0" w:line="252" w:lineRule="auto"/>
            </w:pPr>
            <w:r>
              <w:rPr>
                <w:rFonts w:ascii="Noto Sans CJK SC" w:hAnsi="Noto Sans CJK SC"/>
                <w:sz w:val="15"/>
              </w:rPr>
              <w:t>forecast / ensemble weather</w:t>
            </w:r>
          </w:p>
        </w:tc>
      </w:tr>
      <w:tr>
        <w:tc>
          <w:tcPr>
            <w:tcW w:type="dxa" w:w="1361"/>
            <w:vAlign w:val="center"/>
          </w:tcPr>
          <w:p>
            <w:pPr>
              <w:spacing w:before="0" w:after="0" w:line="252" w:lineRule="auto"/>
            </w:pPr>
            <w:r>
              <w:rPr>
                <w:rFonts w:ascii="Noto Sans CJK SC" w:hAnsi="Noto Sans CJK SC"/>
                <w:sz w:val="15"/>
              </w:rPr>
              <w:t>R38</w:t>
            </w:r>
          </w:p>
        </w:tc>
        <w:tc>
          <w:tcPr>
            <w:tcW w:type="dxa" w:w="4819"/>
            <w:vAlign w:val="center"/>
          </w:tcPr>
          <w:p>
            <w:pPr>
              <w:spacing w:before="0" w:after="0" w:line="252" w:lineRule="auto"/>
            </w:pPr>
            <w:r>
              <w:rPr>
                <w:rFonts w:ascii="Noto Sans CJK SC" w:hAnsi="Noto Sans CJK SC"/>
                <w:sz w:val="15"/>
              </w:rPr>
              <w:t>CARE 2024</w:t>
            </w:r>
          </w:p>
        </w:tc>
        <w:tc>
          <w:tcPr>
            <w:tcW w:type="dxa" w:w="3912"/>
            <w:vAlign w:val="center"/>
          </w:tcPr>
          <w:p>
            <w:pPr>
              <w:spacing w:before="0" w:after="0" w:line="252" w:lineRule="auto"/>
            </w:pPr>
            <w:r>
              <w:rPr>
                <w:rFonts w:ascii="Noto Sans CJK SC" w:hAnsi="Noto Sans CJK SC"/>
                <w:sz w:val="15"/>
              </w:rPr>
              <w:t>fault/data-quality stress benchmark</w:t>
            </w:r>
          </w:p>
        </w:tc>
      </w:tr>
      <w:tr>
        <w:tc>
          <w:tcPr>
            <w:tcW w:type="dxa" w:w="1361"/>
            <w:vAlign w:val="center"/>
          </w:tcPr>
          <w:p>
            <w:pPr>
              <w:spacing w:before="0" w:after="0" w:line="252" w:lineRule="auto"/>
            </w:pPr>
            <w:r>
              <w:rPr>
                <w:rFonts w:ascii="Noto Sans CJK SC" w:hAnsi="Noto Sans CJK SC"/>
                <w:sz w:val="15"/>
              </w:rPr>
              <w:t>R39</w:t>
            </w:r>
          </w:p>
        </w:tc>
        <w:tc>
          <w:tcPr>
            <w:tcW w:type="dxa" w:w="4819"/>
            <w:vAlign w:val="center"/>
          </w:tcPr>
          <w:p>
            <w:pPr>
              <w:spacing w:before="0" w:after="0" w:line="252" w:lineRule="auto"/>
            </w:pPr>
            <w:r>
              <w:rPr>
                <w:rFonts w:ascii="Noto Sans CJK SC" w:hAnsi="Noto Sans CJK SC"/>
                <w:sz w:val="15"/>
              </w:rPr>
              <w:t>Kelmarsh Zenodo</w:t>
            </w:r>
          </w:p>
        </w:tc>
        <w:tc>
          <w:tcPr>
            <w:tcW w:type="dxa" w:w="3912"/>
            <w:vAlign w:val="center"/>
          </w:tcPr>
          <w:p>
            <w:pPr>
              <w:spacing w:before="0" w:after="0" w:line="252" w:lineRule="auto"/>
            </w:pPr>
            <w:r>
              <w:rPr>
                <w:rFonts w:ascii="Noto Sans CJK SC" w:hAnsi="Noto Sans CJK SC"/>
                <w:sz w:val="15"/>
              </w:rPr>
              <w:t>外部真实风场与静态 turbine parameters</w:t>
            </w:r>
          </w:p>
        </w:tc>
      </w:tr>
      <w:tr>
        <w:tc>
          <w:tcPr>
            <w:tcW w:type="dxa" w:w="1361"/>
            <w:vAlign w:val="center"/>
          </w:tcPr>
          <w:p>
            <w:pPr>
              <w:spacing w:before="0" w:after="0" w:line="252" w:lineRule="auto"/>
            </w:pPr>
            <w:r>
              <w:rPr>
                <w:rFonts w:ascii="Noto Sans CJK SC" w:hAnsi="Noto Sans CJK SC"/>
                <w:sz w:val="15"/>
              </w:rPr>
              <w:t>R40-R43</w:t>
            </w:r>
          </w:p>
        </w:tc>
        <w:tc>
          <w:tcPr>
            <w:tcW w:type="dxa" w:w="4819"/>
            <w:vAlign w:val="center"/>
          </w:tcPr>
          <w:p>
            <w:pPr>
              <w:spacing w:before="0" w:after="0" w:line="252" w:lineRule="auto"/>
            </w:pPr>
            <w:r>
              <w:rPr>
                <w:rFonts w:ascii="Noto Sans CJK SC" w:hAnsi="Noto Sans CJK SC"/>
                <w:sz w:val="15"/>
              </w:rPr>
              <w:t>2024–2026 physics-aware / graph / joint probabilistic wind studies</w:t>
            </w:r>
          </w:p>
        </w:tc>
        <w:tc>
          <w:tcPr>
            <w:tcW w:type="dxa" w:w="3912"/>
            <w:vAlign w:val="center"/>
          </w:tcPr>
          <w:p>
            <w:pPr>
              <w:spacing w:before="0" w:after="0" w:line="252" w:lineRule="auto"/>
            </w:pPr>
            <w:r>
              <w:rPr>
                <w:rFonts w:ascii="Noto Sans CJK SC" w:hAnsi="Noto Sans CJK SC"/>
                <w:sz w:val="15"/>
              </w:rPr>
              <w:t>领域动机与强对比方向</w:t>
            </w:r>
          </w:p>
        </w:tc>
      </w:tr>
    </w:tbl>
    <w:p>
      <w:pPr>
        <w:spacing w:after="0"/>
      </w:pPr>
    </w:p>
    <w:p>
      <w:pPr>
        <w:pStyle w:val="Heading1"/>
      </w:pPr>
      <w:r>
        <w:t>结语：v3.2 的停止原则</w:t>
      </w:r>
    </w:p>
    <w:tbl>
      <w:tblPr>
        <w:tblW w:type="auto" w:w="0"/>
        <w:jc w:val="center"/>
        <w:tblLook w:firstColumn="1" w:firstRow="1" w:lastColumn="0" w:lastRow="0" w:noHBand="0" w:noVBand="1" w:val="04A0"/>
      </w:tblPr>
      <w:tblGrid>
        <w:gridCol w:w="9978"/>
      </w:tblGrid>
      <w:tr>
        <w:tc>
          <w:tcPr>
            <w:tcW w:type="dxa" w:w="9978"/>
            <w:shd w:fill="EDF4F8"/>
            <w:tcBorders>
              <w:top w:val="single" w:sz="6" w:color="A8BBC7"/>
              <w:bottom w:val="single" w:sz="6" w:color="A8BBC7"/>
              <w:left w:val="single" w:sz="6" w:color="A8BBC7"/>
              <w:right w:val="single" w:sz="6" w:color="A8BBC7"/>
            </w:tcBorders>
          </w:tcPr>
          <w:p>
            <w:pPr>
              <w:spacing w:before="80" w:after="80"/>
            </w:pPr>
            <w:r>
              <w:rPr>
                <w:b/>
                <w:color w:val="243746"/>
                <w:sz w:val="19"/>
              </w:rPr>
              <w:t>如果 Direct CFM 在 ES/VS/Ramp probability 上不能稳定优于至少一个强概率基线，或 A_dir 在 extreme 段没有可重复增益，就不要继续靠增加模块救论文。v3.2 的目标不是“模块数更多”，而是让弱物理中心、残差、联合概率、校准和风险代理各自有独立、可审计、可否证的证据。</w:t>
            </w:r>
          </w:p>
        </w:tc>
      </w:tr>
    </w:tbl>
    <w:sectPr w:rsidR="00FC693F" w:rsidRPr="0006063C" w:rsidSect="00034616">
      <w:headerReference w:type="default" r:id="rId9"/>
      <w:footerReference w:type="default" r:id="rId10"/>
      <w:pgSz w:w="11906" w:h="16838"/>
      <w:pgMar w:top="850"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C89"/>
        <w:sz w:val="16"/>
      </w:rPr>
      <w:t xml:space="preserve">v3.2 clean · 2026-08-24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C89"/>
        <w:sz w:val="17"/>
      </w:rPr>
      <w:t>PR-Warn++ v3.2 · 最终研究方案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243746"/>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SC" w:hAnsi="Noto Sans CJK SC" w:eastAsia="Noto Sans CJK SC"/>
      <w:b/>
      <w:bCs/>
      <w:color w:val="345A73"/>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SC" w:hAnsi="Noto Sans CJK SC" w:eastAsia="Noto Sans CJK SC"/>
      <w:b/>
      <w:bCs/>
      <w:color w:val="456B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Noto Sans CJK SC" w:hAnsi="Noto Sans CJK SC" w:eastAsia="Noto Sans CJK SC"/>
      <w:b/>
      <w:color w:val="2437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before="60" w:after="60"/>
      <w:ind w:left="454" w:right="454"/>
      <w:jc w:val="center"/>
    </w:pPr>
    <w:rPr>
      <w:rFonts w:ascii="DejaVu Sans Mono" w:hAnsi="DejaVu Sans Mono" w:eastAsia="Noto Sans CJK SC"/>
      <w:sz w:val="19"/>
    </w:rPr>
  </w:style>
  <w:style w:type="paragraph" w:customStyle="1" w:styleId="Callout">
    <w:name w:val="Callout"/>
    <w:pPr>
      <w:spacing w:before="80" w:after="80"/>
      <w:ind w:left="283" w:right="283"/>
    </w:pPr>
    <w:rPr>
      <w:rFonts w:ascii="Noto Sans CJK SC" w:hAnsi="Noto Sans CJK SC" w:eastAsia="Noto Sans CJK SC"/>
      <w:color w:val="2437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