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12F41"/>
          <w:sz w:val="68"/>
        </w:rPr>
        <w:t>TV EMPIRE</w:t>
        <w:br/>
        <w:t>CHRONICLE</w:t>
      </w:r>
    </w:p>
    <w:p>
      <w:pPr>
        <w:jc w:val="center"/>
      </w:pPr>
      <w:r>
        <w:rPr>
          <w:i/>
          <w:color w:val="4C626F"/>
          <w:sz w:val="28"/>
        </w:rPr>
        <w:t>A living broadcast-industry simulation played through realistic corporate systems</w:t>
      </w:r>
    </w:p>
    <w:p>
      <w:pPr>
        <w:spacing w:before="440"/>
        <w:jc w:val="center"/>
      </w:pPr>
      <w:r>
        <w:rPr>
          <w:b/>
          <w:color w:val="1F4E79"/>
          <w:sz w:val="22"/>
        </w:rPr>
        <w:t>Initial Full Design — August 2026</w:t>
      </w:r>
    </w:p>
    <w:tbl>
      <w:tblPr>
        <w:tblW w:type="auto" w:w="0"/>
        <w:jc w:val="center"/>
        <w:tblLayout w:type="autofit"/>
        <w:tblLook w:firstColumn="1" w:firstRow="1" w:lastColumn="0" w:lastRow="0" w:noHBand="0" w:noVBand="1" w:val="04A0"/>
      </w:tblPr>
      <w:tblGrid>
        <w:gridCol w:w="9994"/>
      </w:tblGrid>
      <w:tr>
        <w:trPr>
          <w:cantSplit/>
        </w:trPr>
        <w:tc>
          <w:tcPr>
            <w:tcW w:type="dxa" w:w="9994"/>
            <w:shd w:fill="DDEBF7"/>
            <w:tcMar>
              <w:top w:w="120" w:type="dxa"/>
              <w:start w:w="160" w:type="dxa"/>
              <w:bottom w:w="120" w:type="dxa"/>
              <w:end w:w="160" w:type="dxa"/>
            </w:tcMar>
          </w:tcPr>
          <w:p>
            <w:r>
              <w:rPr>
                <w:b/>
                <w:color w:val="1F4E79"/>
              </w:rPr>
              <w:t xml:space="preserve">Core fantasy — </w:t>
            </w:r>
            <w:r>
              <w:t>Begin as the CEO of a small northern Illinois station and build a media institution: a Midwest powerhouse, a national network, a major cable brand, a streaming leader, or a hybrid empire. The world keeps moving whether the player succeeds or not.</w:t>
            </w:r>
          </w:p>
        </w:tc>
      </w:tr>
    </w:tbl>
    <w:p>
      <w:pPr>
        <w:spacing w:after="0"/>
      </w:pPr>
    </w:p>
    <w:p>
      <w:r>
        <w:br w:type="page"/>
      </w:r>
    </w:p>
    <w:p>
      <w:pPr>
        <w:pStyle w:val="Heading1"/>
      </w:pPr>
      <w:r>
        <w:t>Contents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008"/>
            <w:shd w:fill="1F4E79"/>
            <w:tcMar>
              <w:top w:w="90" w:type="dxa"/>
              <w:start w:w="100" w:type="dxa"/>
              <w:bottom w:w="90" w:type="dxa"/>
              <w:end w:w="100" w:type="dxa"/>
            </w:tcMar>
            <w:vAlign w:val="center"/>
          </w:tcPr>
          <w:p>
            <w:pPr>
              <w:jc w:val="center"/>
            </w:pPr>
            <w:r>
              <w:rPr>
                <w:b/>
                <w:color w:val="FFFFFF"/>
                <w:sz w:val="18"/>
              </w:rPr>
              <w:t>Section</w:t>
            </w:r>
          </w:p>
        </w:tc>
        <w:tc>
          <w:tcPr>
            <w:tcW w:type="dxa" w:w="9072"/>
            <w:shd w:fill="1F4E79"/>
            <w:tcMar>
              <w:top w:w="90" w:type="dxa"/>
              <w:start w:w="100" w:type="dxa"/>
              <w:bottom w:w="90" w:type="dxa"/>
              <w:end w:w="100" w:type="dxa"/>
            </w:tcMar>
            <w:vAlign w:val="center"/>
          </w:tcPr>
          <w:p>
            <w:pPr>
              <w:jc w:val="center"/>
            </w:pPr>
            <w:r>
              <w:rPr>
                <w:b/>
                <w:color w:val="FFFFFF"/>
                <w:sz w:val="18"/>
              </w:rPr>
              <w:t>Topic</w:t>
            </w:r>
          </w:p>
        </w:tc>
      </w:tr>
      <w:tr>
        <w:trPr>
          <w:cantSplit/>
        </w:trPr>
        <w:tc>
          <w:tcPr>
            <w:tcW w:type="dxa" w:w="1008"/>
            <w:tcMar>
              <w:top w:w="90" w:type="dxa"/>
              <w:start w:w="100" w:type="dxa"/>
              <w:bottom w:w="90" w:type="dxa"/>
              <w:end w:w="100" w:type="dxa"/>
            </w:tcMar>
            <w:vAlign w:val="center"/>
          </w:tcPr>
          <w:p>
            <w:pPr>
              <w:spacing w:after="0"/>
            </w:pPr>
            <w:r>
              <w:rPr>
                <w:sz w:val="18"/>
              </w:rPr>
              <w:t>1</w:t>
            </w:r>
          </w:p>
        </w:tc>
        <w:tc>
          <w:tcPr>
            <w:tcW w:type="dxa" w:w="9072"/>
            <w:tcMar>
              <w:top w:w="90" w:type="dxa"/>
              <w:start w:w="100" w:type="dxa"/>
              <w:bottom w:w="90" w:type="dxa"/>
              <w:end w:w="100" w:type="dxa"/>
            </w:tcMar>
            <w:vAlign w:val="center"/>
          </w:tcPr>
          <w:p>
            <w:pPr>
              <w:spacing w:after="0"/>
            </w:pPr>
            <w:r>
              <w:rPr>
                <w:sz w:val="18"/>
              </w:rPr>
              <w:t>Vision and Design Principles</w:t>
            </w:r>
          </w:p>
        </w:tc>
      </w:tr>
      <w:tr>
        <w:trPr>
          <w:cantSplit/>
        </w:trPr>
        <w:tc>
          <w:tcPr>
            <w:tcW w:type="dxa" w:w="1008"/>
            <w:tcMar>
              <w:top w:w="90" w:type="dxa"/>
              <w:start w:w="100" w:type="dxa"/>
              <w:bottom w:w="90" w:type="dxa"/>
              <w:end w:w="100" w:type="dxa"/>
            </w:tcMar>
            <w:vAlign w:val="center"/>
          </w:tcPr>
          <w:p>
            <w:pPr>
              <w:spacing w:after="0"/>
            </w:pPr>
            <w:r>
              <w:rPr>
                <w:sz w:val="18"/>
              </w:rPr>
              <w:t>2</w:t>
            </w:r>
          </w:p>
        </w:tc>
        <w:tc>
          <w:tcPr>
            <w:tcW w:type="dxa" w:w="9072"/>
            <w:tcMar>
              <w:top w:w="90" w:type="dxa"/>
              <w:start w:w="100" w:type="dxa"/>
              <w:bottom w:w="90" w:type="dxa"/>
              <w:end w:w="100" w:type="dxa"/>
            </w:tcMar>
            <w:vAlign w:val="center"/>
          </w:tcPr>
          <w:p>
            <w:pPr>
              <w:spacing w:after="0"/>
            </w:pPr>
            <w:r>
              <w:rPr>
                <w:sz w:val="18"/>
              </w:rPr>
              <w:t>The Player Fantasy and Career Paths</w:t>
            </w:r>
          </w:p>
        </w:tc>
      </w:tr>
      <w:tr>
        <w:trPr>
          <w:cantSplit/>
        </w:trPr>
        <w:tc>
          <w:tcPr>
            <w:tcW w:type="dxa" w:w="1008"/>
            <w:tcMar>
              <w:top w:w="90" w:type="dxa"/>
              <w:start w:w="100" w:type="dxa"/>
              <w:bottom w:w="90" w:type="dxa"/>
              <w:end w:w="100" w:type="dxa"/>
            </w:tcMar>
            <w:vAlign w:val="center"/>
          </w:tcPr>
          <w:p>
            <w:pPr>
              <w:spacing w:after="0"/>
            </w:pPr>
            <w:r>
              <w:rPr>
                <w:sz w:val="18"/>
              </w:rPr>
              <w:t>3</w:t>
            </w:r>
          </w:p>
        </w:tc>
        <w:tc>
          <w:tcPr>
            <w:tcW w:type="dxa" w:w="9072"/>
            <w:tcMar>
              <w:top w:w="90" w:type="dxa"/>
              <w:start w:w="100" w:type="dxa"/>
              <w:bottom w:w="90" w:type="dxa"/>
              <w:end w:w="100" w:type="dxa"/>
            </w:tcMar>
            <w:vAlign w:val="center"/>
          </w:tcPr>
          <w:p>
            <w:pPr>
              <w:spacing w:after="0"/>
            </w:pPr>
            <w:r>
              <w:rPr>
                <w:sz w:val="18"/>
              </w:rPr>
              <w:t>The Living Broadcast Universe</w:t>
            </w:r>
          </w:p>
        </w:tc>
      </w:tr>
      <w:tr>
        <w:trPr>
          <w:cantSplit/>
        </w:trPr>
        <w:tc>
          <w:tcPr>
            <w:tcW w:type="dxa" w:w="1008"/>
            <w:tcMar>
              <w:top w:w="90" w:type="dxa"/>
              <w:start w:w="100" w:type="dxa"/>
              <w:bottom w:w="90" w:type="dxa"/>
              <w:end w:w="100" w:type="dxa"/>
            </w:tcMar>
            <w:vAlign w:val="center"/>
          </w:tcPr>
          <w:p>
            <w:pPr>
              <w:spacing w:after="0"/>
            </w:pPr>
            <w:r>
              <w:rPr>
                <w:sz w:val="18"/>
              </w:rPr>
              <w:t>4</w:t>
            </w:r>
          </w:p>
        </w:tc>
        <w:tc>
          <w:tcPr>
            <w:tcW w:type="dxa" w:w="9072"/>
            <w:tcMar>
              <w:top w:w="90" w:type="dxa"/>
              <w:start w:w="100" w:type="dxa"/>
              <w:bottom w:w="90" w:type="dxa"/>
              <w:end w:w="100" w:type="dxa"/>
            </w:tcMar>
            <w:vAlign w:val="center"/>
          </w:tcPr>
          <w:p>
            <w:pPr>
              <w:spacing w:after="0"/>
            </w:pPr>
            <w:r>
              <w:rPr>
                <w:sz w:val="18"/>
              </w:rPr>
              <w:t>Network Scale, Distribution, and Expansion</w:t>
            </w:r>
          </w:p>
        </w:tc>
      </w:tr>
      <w:tr>
        <w:trPr>
          <w:cantSplit/>
        </w:trPr>
        <w:tc>
          <w:tcPr>
            <w:tcW w:type="dxa" w:w="1008"/>
            <w:tcMar>
              <w:top w:w="90" w:type="dxa"/>
              <w:start w:w="100" w:type="dxa"/>
              <w:bottom w:w="90" w:type="dxa"/>
              <w:end w:w="100" w:type="dxa"/>
            </w:tcMar>
            <w:vAlign w:val="center"/>
          </w:tcPr>
          <w:p>
            <w:pPr>
              <w:spacing w:after="0"/>
            </w:pPr>
            <w:r>
              <w:rPr>
                <w:sz w:val="18"/>
              </w:rPr>
              <w:t>5</w:t>
            </w:r>
          </w:p>
        </w:tc>
        <w:tc>
          <w:tcPr>
            <w:tcW w:type="dxa" w:w="9072"/>
            <w:tcMar>
              <w:top w:w="90" w:type="dxa"/>
              <w:start w:w="100" w:type="dxa"/>
              <w:bottom w:w="90" w:type="dxa"/>
              <w:end w:w="100" w:type="dxa"/>
            </w:tcMar>
            <w:vAlign w:val="center"/>
          </w:tcPr>
          <w:p>
            <w:pPr>
              <w:spacing w:after="0"/>
            </w:pPr>
            <w:r>
              <w:rPr>
                <w:sz w:val="18"/>
              </w:rPr>
              <w:t>Competitors and Market Simulation</w:t>
            </w:r>
          </w:p>
        </w:tc>
      </w:tr>
      <w:tr>
        <w:trPr>
          <w:cantSplit/>
        </w:trPr>
        <w:tc>
          <w:tcPr>
            <w:tcW w:type="dxa" w:w="1008"/>
            <w:tcMar>
              <w:top w:w="90" w:type="dxa"/>
              <w:start w:w="100" w:type="dxa"/>
              <w:bottom w:w="90" w:type="dxa"/>
              <w:end w:w="100" w:type="dxa"/>
            </w:tcMar>
            <w:vAlign w:val="center"/>
          </w:tcPr>
          <w:p>
            <w:pPr>
              <w:spacing w:after="0"/>
            </w:pPr>
            <w:r>
              <w:rPr>
                <w:sz w:val="18"/>
              </w:rPr>
              <w:t>6</w:t>
            </w:r>
          </w:p>
        </w:tc>
        <w:tc>
          <w:tcPr>
            <w:tcW w:type="dxa" w:w="9072"/>
            <w:tcMar>
              <w:top w:w="90" w:type="dxa"/>
              <w:start w:w="100" w:type="dxa"/>
              <w:bottom w:w="90" w:type="dxa"/>
              <w:end w:w="100" w:type="dxa"/>
            </w:tcMar>
            <w:vAlign w:val="center"/>
          </w:tcPr>
          <w:p>
            <w:pPr>
              <w:spacing w:after="0"/>
            </w:pPr>
            <w:r>
              <w:rPr>
                <w:sz w:val="18"/>
              </w:rPr>
              <w:t>The Weekly CEO Loop</w:t>
            </w:r>
          </w:p>
        </w:tc>
      </w:tr>
      <w:tr>
        <w:trPr>
          <w:cantSplit/>
        </w:trPr>
        <w:tc>
          <w:tcPr>
            <w:tcW w:type="dxa" w:w="1008"/>
            <w:tcMar>
              <w:top w:w="90" w:type="dxa"/>
              <w:start w:w="100" w:type="dxa"/>
              <w:bottom w:w="90" w:type="dxa"/>
              <w:end w:w="100" w:type="dxa"/>
            </w:tcMar>
            <w:vAlign w:val="center"/>
          </w:tcPr>
          <w:p>
            <w:pPr>
              <w:spacing w:after="0"/>
            </w:pPr>
            <w:r>
              <w:rPr>
                <w:sz w:val="18"/>
              </w:rPr>
              <w:t>7</w:t>
            </w:r>
          </w:p>
        </w:tc>
        <w:tc>
          <w:tcPr>
            <w:tcW w:type="dxa" w:w="9072"/>
            <w:tcMar>
              <w:top w:w="90" w:type="dxa"/>
              <w:start w:w="100" w:type="dxa"/>
              <w:bottom w:w="90" w:type="dxa"/>
              <w:end w:w="100" w:type="dxa"/>
            </w:tcMar>
            <w:vAlign w:val="center"/>
          </w:tcPr>
          <w:p>
            <w:pPr>
              <w:spacing w:after="0"/>
            </w:pPr>
            <w:r>
              <w:rPr>
                <w:sz w:val="18"/>
              </w:rPr>
              <w:t>Creative Studio and Content Taxonomy</w:t>
            </w:r>
          </w:p>
        </w:tc>
      </w:tr>
      <w:tr>
        <w:trPr>
          <w:cantSplit/>
        </w:trPr>
        <w:tc>
          <w:tcPr>
            <w:tcW w:type="dxa" w:w="1008"/>
            <w:tcMar>
              <w:top w:w="90" w:type="dxa"/>
              <w:start w:w="100" w:type="dxa"/>
              <w:bottom w:w="90" w:type="dxa"/>
              <w:end w:w="100" w:type="dxa"/>
            </w:tcMar>
            <w:vAlign w:val="center"/>
          </w:tcPr>
          <w:p>
            <w:pPr>
              <w:spacing w:after="0"/>
            </w:pPr>
            <w:r>
              <w:rPr>
                <w:sz w:val="18"/>
              </w:rPr>
              <w:t>8</w:t>
            </w:r>
          </w:p>
        </w:tc>
        <w:tc>
          <w:tcPr>
            <w:tcW w:type="dxa" w:w="9072"/>
            <w:tcMar>
              <w:top w:w="90" w:type="dxa"/>
              <w:start w:w="100" w:type="dxa"/>
              <w:bottom w:w="90" w:type="dxa"/>
              <w:end w:w="100" w:type="dxa"/>
            </w:tcMar>
            <w:vAlign w:val="center"/>
          </w:tcPr>
          <w:p>
            <w:pPr>
              <w:spacing w:after="0"/>
            </w:pPr>
            <w:r>
              <w:rPr>
                <w:sz w:val="18"/>
              </w:rPr>
              <w:t>Script Development System</w:t>
            </w:r>
          </w:p>
        </w:tc>
      </w:tr>
      <w:tr>
        <w:trPr>
          <w:cantSplit/>
        </w:trPr>
        <w:tc>
          <w:tcPr>
            <w:tcW w:type="dxa" w:w="1008"/>
            <w:tcMar>
              <w:top w:w="90" w:type="dxa"/>
              <w:start w:w="100" w:type="dxa"/>
              <w:bottom w:w="90" w:type="dxa"/>
              <w:end w:w="100" w:type="dxa"/>
            </w:tcMar>
            <w:vAlign w:val="center"/>
          </w:tcPr>
          <w:p>
            <w:pPr>
              <w:spacing w:after="0"/>
            </w:pPr>
            <w:r>
              <w:rPr>
                <w:sz w:val="18"/>
              </w:rPr>
              <w:t>9</w:t>
            </w:r>
          </w:p>
        </w:tc>
        <w:tc>
          <w:tcPr>
            <w:tcW w:type="dxa" w:w="9072"/>
            <w:tcMar>
              <w:top w:w="90" w:type="dxa"/>
              <w:start w:w="100" w:type="dxa"/>
              <w:bottom w:w="90" w:type="dxa"/>
              <w:end w:w="100" w:type="dxa"/>
            </w:tcMar>
            <w:vAlign w:val="center"/>
          </w:tcPr>
          <w:p>
            <w:pPr>
              <w:spacing w:after="0"/>
            </w:pPr>
            <w:r>
              <w:rPr>
                <w:sz w:val="18"/>
              </w:rPr>
              <w:t>Production System</w:t>
            </w:r>
          </w:p>
        </w:tc>
      </w:tr>
      <w:tr>
        <w:trPr>
          <w:cantSplit/>
        </w:trPr>
        <w:tc>
          <w:tcPr>
            <w:tcW w:type="dxa" w:w="1008"/>
            <w:tcMar>
              <w:top w:w="90" w:type="dxa"/>
              <w:start w:w="100" w:type="dxa"/>
              <w:bottom w:w="90" w:type="dxa"/>
              <w:end w:w="100" w:type="dxa"/>
            </w:tcMar>
            <w:vAlign w:val="center"/>
          </w:tcPr>
          <w:p>
            <w:pPr>
              <w:spacing w:after="0"/>
            </w:pPr>
            <w:r>
              <w:rPr>
                <w:sz w:val="18"/>
              </w:rPr>
              <w:t>10</w:t>
            </w:r>
          </w:p>
        </w:tc>
        <w:tc>
          <w:tcPr>
            <w:tcW w:type="dxa" w:w="9072"/>
            <w:tcMar>
              <w:top w:w="90" w:type="dxa"/>
              <w:start w:w="100" w:type="dxa"/>
              <w:bottom w:w="90" w:type="dxa"/>
              <w:end w:w="100" w:type="dxa"/>
            </w:tcMar>
            <w:vAlign w:val="center"/>
          </w:tcPr>
          <w:p>
            <w:pPr>
              <w:spacing w:after="0"/>
            </w:pPr>
            <w:r>
              <w:rPr>
                <w:sz w:val="18"/>
              </w:rPr>
              <w:t>Rights Marketplace</w:t>
            </w:r>
          </w:p>
        </w:tc>
      </w:tr>
      <w:tr>
        <w:trPr>
          <w:cantSplit/>
        </w:trPr>
        <w:tc>
          <w:tcPr>
            <w:tcW w:type="dxa" w:w="1008"/>
            <w:tcMar>
              <w:top w:w="90" w:type="dxa"/>
              <w:start w:w="100" w:type="dxa"/>
              <w:bottom w:w="90" w:type="dxa"/>
              <w:end w:w="100" w:type="dxa"/>
            </w:tcMar>
            <w:vAlign w:val="center"/>
          </w:tcPr>
          <w:p>
            <w:pPr>
              <w:spacing w:after="0"/>
            </w:pPr>
            <w:r>
              <w:rPr>
                <w:sz w:val="18"/>
              </w:rPr>
              <w:t>11</w:t>
            </w:r>
          </w:p>
        </w:tc>
        <w:tc>
          <w:tcPr>
            <w:tcW w:type="dxa" w:w="9072"/>
            <w:tcMar>
              <w:top w:w="90" w:type="dxa"/>
              <w:start w:w="100" w:type="dxa"/>
              <w:bottom w:w="90" w:type="dxa"/>
              <w:end w:w="100" w:type="dxa"/>
            </w:tcMar>
            <w:vAlign w:val="center"/>
          </w:tcPr>
          <w:p>
            <w:pPr>
              <w:spacing w:after="0"/>
            </w:pPr>
            <w:r>
              <w:rPr>
                <w:sz w:val="18"/>
              </w:rPr>
              <w:t>Programming and Schedule Grid</w:t>
            </w:r>
          </w:p>
        </w:tc>
      </w:tr>
      <w:tr>
        <w:trPr>
          <w:cantSplit/>
        </w:trPr>
        <w:tc>
          <w:tcPr>
            <w:tcW w:type="dxa" w:w="1008"/>
            <w:tcMar>
              <w:top w:w="90" w:type="dxa"/>
              <w:start w:w="100" w:type="dxa"/>
              <w:bottom w:w="90" w:type="dxa"/>
              <w:end w:w="100" w:type="dxa"/>
            </w:tcMar>
            <w:vAlign w:val="center"/>
          </w:tcPr>
          <w:p>
            <w:pPr>
              <w:spacing w:after="0"/>
            </w:pPr>
            <w:r>
              <w:rPr>
                <w:sz w:val="18"/>
              </w:rPr>
              <w:t>12</w:t>
            </w:r>
          </w:p>
        </w:tc>
        <w:tc>
          <w:tcPr>
            <w:tcW w:type="dxa" w:w="9072"/>
            <w:tcMar>
              <w:top w:w="90" w:type="dxa"/>
              <w:start w:w="100" w:type="dxa"/>
              <w:bottom w:w="90" w:type="dxa"/>
              <w:end w:w="100" w:type="dxa"/>
            </w:tcMar>
            <w:vAlign w:val="center"/>
          </w:tcPr>
          <w:p>
            <w:pPr>
              <w:spacing w:after="0"/>
            </w:pPr>
            <w:r>
              <w:rPr>
                <w:sz w:val="18"/>
              </w:rPr>
              <w:t>Talent, Employees, Rarity, and Specialization</w:t>
            </w:r>
          </w:p>
        </w:tc>
      </w:tr>
      <w:tr>
        <w:trPr>
          <w:cantSplit/>
        </w:trPr>
        <w:tc>
          <w:tcPr>
            <w:tcW w:type="dxa" w:w="1008"/>
            <w:tcMar>
              <w:top w:w="90" w:type="dxa"/>
              <w:start w:w="100" w:type="dxa"/>
              <w:bottom w:w="90" w:type="dxa"/>
              <w:end w:w="100" w:type="dxa"/>
            </w:tcMar>
            <w:vAlign w:val="center"/>
          </w:tcPr>
          <w:p>
            <w:pPr>
              <w:spacing w:after="0"/>
            </w:pPr>
            <w:r>
              <w:rPr>
                <w:sz w:val="18"/>
              </w:rPr>
              <w:t>13</w:t>
            </w:r>
          </w:p>
        </w:tc>
        <w:tc>
          <w:tcPr>
            <w:tcW w:type="dxa" w:w="9072"/>
            <w:tcMar>
              <w:top w:w="90" w:type="dxa"/>
              <w:start w:w="100" w:type="dxa"/>
              <w:bottom w:w="90" w:type="dxa"/>
              <w:end w:w="100" w:type="dxa"/>
            </w:tcMar>
            <w:vAlign w:val="center"/>
          </w:tcPr>
          <w:p>
            <w:pPr>
              <w:spacing w:after="0"/>
            </w:pPr>
            <w:r>
              <w:rPr>
                <w:sz w:val="18"/>
              </w:rPr>
              <w:t>Research, Facilities, and Institutional Capability</w:t>
            </w:r>
          </w:p>
        </w:tc>
      </w:tr>
      <w:tr>
        <w:trPr>
          <w:cantSplit/>
        </w:trPr>
        <w:tc>
          <w:tcPr>
            <w:tcW w:type="dxa" w:w="1008"/>
            <w:tcMar>
              <w:top w:w="90" w:type="dxa"/>
              <w:start w:w="100" w:type="dxa"/>
              <w:bottom w:w="90" w:type="dxa"/>
              <w:end w:w="100" w:type="dxa"/>
            </w:tcMar>
            <w:vAlign w:val="center"/>
          </w:tcPr>
          <w:p>
            <w:pPr>
              <w:spacing w:after="0"/>
            </w:pPr>
            <w:r>
              <w:rPr>
                <w:sz w:val="18"/>
              </w:rPr>
              <w:t>14</w:t>
            </w:r>
          </w:p>
        </w:tc>
        <w:tc>
          <w:tcPr>
            <w:tcW w:type="dxa" w:w="9072"/>
            <w:tcMar>
              <w:top w:w="90" w:type="dxa"/>
              <w:start w:w="100" w:type="dxa"/>
              <w:bottom w:w="90" w:type="dxa"/>
              <w:end w:w="100" w:type="dxa"/>
            </w:tcMar>
            <w:vAlign w:val="center"/>
          </w:tcPr>
          <w:p>
            <w:pPr>
              <w:spacing w:after="0"/>
            </w:pPr>
            <w:r>
              <w:rPr>
                <w:sz w:val="18"/>
              </w:rPr>
              <w:t>Ratings, Reviews, and Audience Behavior</w:t>
            </w:r>
          </w:p>
        </w:tc>
      </w:tr>
      <w:tr>
        <w:trPr>
          <w:cantSplit/>
        </w:trPr>
        <w:tc>
          <w:tcPr>
            <w:tcW w:type="dxa" w:w="1008"/>
            <w:tcMar>
              <w:top w:w="90" w:type="dxa"/>
              <w:start w:w="100" w:type="dxa"/>
              <w:bottom w:w="90" w:type="dxa"/>
              <w:end w:w="100" w:type="dxa"/>
            </w:tcMar>
            <w:vAlign w:val="center"/>
          </w:tcPr>
          <w:p>
            <w:pPr>
              <w:spacing w:after="0"/>
            </w:pPr>
            <w:r>
              <w:rPr>
                <w:sz w:val="18"/>
              </w:rPr>
              <w:t>15</w:t>
            </w:r>
          </w:p>
        </w:tc>
        <w:tc>
          <w:tcPr>
            <w:tcW w:type="dxa" w:w="9072"/>
            <w:tcMar>
              <w:top w:w="90" w:type="dxa"/>
              <w:start w:w="100" w:type="dxa"/>
              <w:bottom w:w="90" w:type="dxa"/>
              <w:end w:w="100" w:type="dxa"/>
            </w:tcMar>
            <w:vAlign w:val="center"/>
          </w:tcPr>
          <w:p>
            <w:pPr>
              <w:spacing w:after="0"/>
            </w:pPr>
            <w:r>
              <w:rPr>
                <w:sz w:val="18"/>
              </w:rPr>
              <w:t>Advertising, Sales, and Distribution Deals</w:t>
            </w:r>
          </w:p>
        </w:tc>
      </w:tr>
      <w:tr>
        <w:trPr>
          <w:cantSplit/>
        </w:trPr>
        <w:tc>
          <w:tcPr>
            <w:tcW w:type="dxa" w:w="1008"/>
            <w:tcMar>
              <w:top w:w="90" w:type="dxa"/>
              <w:start w:w="100" w:type="dxa"/>
              <w:bottom w:w="90" w:type="dxa"/>
              <w:end w:w="100" w:type="dxa"/>
            </w:tcMar>
            <w:vAlign w:val="center"/>
          </w:tcPr>
          <w:p>
            <w:pPr>
              <w:spacing w:after="0"/>
            </w:pPr>
            <w:r>
              <w:rPr>
                <w:sz w:val="18"/>
              </w:rPr>
              <w:t>16</w:t>
            </w:r>
          </w:p>
        </w:tc>
        <w:tc>
          <w:tcPr>
            <w:tcW w:type="dxa" w:w="9072"/>
            <w:tcMar>
              <w:top w:w="90" w:type="dxa"/>
              <w:start w:w="100" w:type="dxa"/>
              <w:bottom w:w="90" w:type="dxa"/>
              <w:end w:w="100" w:type="dxa"/>
            </w:tcMar>
            <w:vAlign w:val="center"/>
          </w:tcPr>
          <w:p>
            <w:pPr>
              <w:spacing w:after="0"/>
            </w:pPr>
            <w:r>
              <w:rPr>
                <w:sz w:val="18"/>
              </w:rPr>
              <w:t>Marketing and Brand Identity</w:t>
            </w:r>
          </w:p>
        </w:tc>
      </w:tr>
      <w:tr>
        <w:trPr>
          <w:cantSplit/>
        </w:trPr>
        <w:tc>
          <w:tcPr>
            <w:tcW w:type="dxa" w:w="1008"/>
            <w:tcMar>
              <w:top w:w="90" w:type="dxa"/>
              <w:start w:w="100" w:type="dxa"/>
              <w:bottom w:w="90" w:type="dxa"/>
              <w:end w:w="100" w:type="dxa"/>
            </w:tcMar>
            <w:vAlign w:val="center"/>
          </w:tcPr>
          <w:p>
            <w:pPr>
              <w:spacing w:after="0"/>
            </w:pPr>
            <w:r>
              <w:rPr>
                <w:sz w:val="18"/>
              </w:rPr>
              <w:t>17</w:t>
            </w:r>
          </w:p>
        </w:tc>
        <w:tc>
          <w:tcPr>
            <w:tcW w:type="dxa" w:w="9072"/>
            <w:tcMar>
              <w:top w:w="90" w:type="dxa"/>
              <w:start w:w="100" w:type="dxa"/>
              <w:bottom w:w="90" w:type="dxa"/>
              <w:end w:w="100" w:type="dxa"/>
            </w:tcMar>
            <w:vAlign w:val="center"/>
          </w:tcPr>
          <w:p>
            <w:pPr>
              <w:spacing w:after="0"/>
            </w:pPr>
            <w:r>
              <w:rPr>
                <w:sz w:val="18"/>
              </w:rPr>
              <w:t>Finance, Operations, and Governance</w:t>
            </w:r>
          </w:p>
        </w:tc>
      </w:tr>
      <w:tr>
        <w:trPr>
          <w:cantSplit/>
        </w:trPr>
        <w:tc>
          <w:tcPr>
            <w:tcW w:type="dxa" w:w="1008"/>
            <w:tcMar>
              <w:top w:w="90" w:type="dxa"/>
              <w:start w:w="100" w:type="dxa"/>
              <w:bottom w:w="90" w:type="dxa"/>
              <w:end w:w="100" w:type="dxa"/>
            </w:tcMar>
            <w:vAlign w:val="center"/>
          </w:tcPr>
          <w:p>
            <w:pPr>
              <w:spacing w:after="0"/>
            </w:pPr>
            <w:r>
              <w:rPr>
                <w:sz w:val="18"/>
              </w:rPr>
              <w:t>18</w:t>
            </w:r>
          </w:p>
        </w:tc>
        <w:tc>
          <w:tcPr>
            <w:tcW w:type="dxa" w:w="9072"/>
            <w:tcMar>
              <w:top w:w="90" w:type="dxa"/>
              <w:start w:w="100" w:type="dxa"/>
              <w:bottom w:w="90" w:type="dxa"/>
              <w:end w:w="100" w:type="dxa"/>
            </w:tcMar>
            <w:vAlign w:val="center"/>
          </w:tcPr>
          <w:p>
            <w:pPr>
              <w:spacing w:after="0"/>
            </w:pPr>
            <w:r>
              <w:rPr>
                <w:sz w:val="18"/>
              </w:rPr>
              <w:t>Home Page, Rankings, and Corporate Websites</w:t>
            </w:r>
          </w:p>
        </w:tc>
      </w:tr>
      <w:tr>
        <w:trPr>
          <w:cantSplit/>
        </w:trPr>
        <w:tc>
          <w:tcPr>
            <w:tcW w:type="dxa" w:w="1008"/>
            <w:tcMar>
              <w:top w:w="90" w:type="dxa"/>
              <w:start w:w="100" w:type="dxa"/>
              <w:bottom w:w="90" w:type="dxa"/>
              <w:end w:w="100" w:type="dxa"/>
            </w:tcMar>
            <w:vAlign w:val="center"/>
          </w:tcPr>
          <w:p>
            <w:pPr>
              <w:spacing w:after="0"/>
            </w:pPr>
            <w:r>
              <w:rPr>
                <w:sz w:val="18"/>
              </w:rPr>
              <w:t>19</w:t>
            </w:r>
          </w:p>
        </w:tc>
        <w:tc>
          <w:tcPr>
            <w:tcW w:type="dxa" w:w="9072"/>
            <w:tcMar>
              <w:top w:w="90" w:type="dxa"/>
              <w:start w:w="100" w:type="dxa"/>
              <w:bottom w:w="90" w:type="dxa"/>
              <w:end w:w="100" w:type="dxa"/>
            </w:tcMar>
            <w:vAlign w:val="center"/>
          </w:tcPr>
          <w:p>
            <w:pPr>
              <w:spacing w:after="0"/>
            </w:pPr>
            <w:r>
              <w:rPr>
                <w:sz w:val="18"/>
              </w:rPr>
              <w:t>Narrative, History, and Almanac</w:t>
            </w:r>
          </w:p>
        </w:tc>
      </w:tr>
      <w:tr>
        <w:trPr>
          <w:cantSplit/>
        </w:trPr>
        <w:tc>
          <w:tcPr>
            <w:tcW w:type="dxa" w:w="1008"/>
            <w:tcMar>
              <w:top w:w="90" w:type="dxa"/>
              <w:start w:w="100" w:type="dxa"/>
              <w:bottom w:w="90" w:type="dxa"/>
              <w:end w:w="100" w:type="dxa"/>
            </w:tcMar>
            <w:vAlign w:val="center"/>
          </w:tcPr>
          <w:p>
            <w:pPr>
              <w:spacing w:after="0"/>
            </w:pPr>
            <w:r>
              <w:rPr>
                <w:sz w:val="18"/>
              </w:rPr>
              <w:t>20</w:t>
            </w:r>
          </w:p>
        </w:tc>
        <w:tc>
          <w:tcPr>
            <w:tcW w:type="dxa" w:w="9072"/>
            <w:tcMar>
              <w:top w:w="90" w:type="dxa"/>
              <w:start w:w="100" w:type="dxa"/>
              <w:bottom w:w="90" w:type="dxa"/>
              <w:end w:w="100" w:type="dxa"/>
            </w:tcMar>
            <w:vAlign w:val="center"/>
          </w:tcPr>
          <w:p>
            <w:pPr>
              <w:spacing w:after="0"/>
            </w:pPr>
            <w:r>
              <w:rPr>
                <w:sz w:val="18"/>
              </w:rPr>
              <w:t>AI Competitor Behavior</w:t>
            </w:r>
          </w:p>
        </w:tc>
      </w:tr>
      <w:tr>
        <w:trPr>
          <w:cantSplit/>
        </w:trPr>
        <w:tc>
          <w:tcPr>
            <w:tcW w:type="dxa" w:w="1008"/>
            <w:tcMar>
              <w:top w:w="90" w:type="dxa"/>
              <w:start w:w="100" w:type="dxa"/>
              <w:bottom w:w="90" w:type="dxa"/>
              <w:end w:w="100" w:type="dxa"/>
            </w:tcMar>
            <w:vAlign w:val="center"/>
          </w:tcPr>
          <w:p>
            <w:pPr>
              <w:spacing w:after="0"/>
            </w:pPr>
            <w:r>
              <w:rPr>
                <w:sz w:val="18"/>
              </w:rPr>
              <w:t>21</w:t>
            </w:r>
          </w:p>
        </w:tc>
        <w:tc>
          <w:tcPr>
            <w:tcW w:type="dxa" w:w="9072"/>
            <w:tcMar>
              <w:top w:w="90" w:type="dxa"/>
              <w:start w:w="100" w:type="dxa"/>
              <w:bottom w:w="90" w:type="dxa"/>
              <w:end w:w="100" w:type="dxa"/>
            </w:tcMar>
            <w:vAlign w:val="center"/>
          </w:tcPr>
          <w:p>
            <w:pPr>
              <w:spacing w:after="0"/>
            </w:pPr>
            <w:r>
              <w:rPr>
                <w:sz w:val="18"/>
              </w:rPr>
              <w:t>Balance, Failure, and Replayability</w:t>
            </w:r>
          </w:p>
        </w:tc>
      </w:tr>
      <w:tr>
        <w:trPr>
          <w:cantSplit/>
        </w:trPr>
        <w:tc>
          <w:tcPr>
            <w:tcW w:type="dxa" w:w="1008"/>
            <w:tcMar>
              <w:top w:w="90" w:type="dxa"/>
              <w:start w:w="100" w:type="dxa"/>
              <w:bottom w:w="90" w:type="dxa"/>
              <w:end w:w="100" w:type="dxa"/>
            </w:tcMar>
            <w:vAlign w:val="center"/>
          </w:tcPr>
          <w:p>
            <w:pPr>
              <w:spacing w:after="0"/>
            </w:pPr>
            <w:r>
              <w:rPr>
                <w:sz w:val="18"/>
              </w:rPr>
              <w:t>22</w:t>
            </w:r>
          </w:p>
        </w:tc>
        <w:tc>
          <w:tcPr>
            <w:tcW w:type="dxa" w:w="9072"/>
            <w:tcMar>
              <w:top w:w="90" w:type="dxa"/>
              <w:start w:w="100" w:type="dxa"/>
              <w:bottom w:w="90" w:type="dxa"/>
              <w:end w:w="100" w:type="dxa"/>
            </w:tcMar>
            <w:vAlign w:val="center"/>
          </w:tcPr>
          <w:p>
            <w:pPr>
              <w:spacing w:after="0"/>
            </w:pPr>
            <w:r>
              <w:rPr>
                <w:sz w:val="18"/>
              </w:rPr>
              <w:t>Data Model and Simulation Rules</w:t>
            </w:r>
          </w:p>
        </w:tc>
      </w:tr>
      <w:tr>
        <w:trPr>
          <w:cantSplit/>
        </w:trPr>
        <w:tc>
          <w:tcPr>
            <w:tcW w:type="dxa" w:w="1008"/>
            <w:tcMar>
              <w:top w:w="90" w:type="dxa"/>
              <w:start w:w="100" w:type="dxa"/>
              <w:bottom w:w="90" w:type="dxa"/>
              <w:end w:w="100" w:type="dxa"/>
            </w:tcMar>
            <w:vAlign w:val="center"/>
          </w:tcPr>
          <w:p>
            <w:pPr>
              <w:spacing w:after="0"/>
            </w:pPr>
            <w:r>
              <w:rPr>
                <w:sz w:val="18"/>
              </w:rPr>
              <w:t>23</w:t>
            </w:r>
          </w:p>
        </w:tc>
        <w:tc>
          <w:tcPr>
            <w:tcW w:type="dxa" w:w="9072"/>
            <w:tcMar>
              <w:top w:w="90" w:type="dxa"/>
              <w:start w:w="100" w:type="dxa"/>
              <w:bottom w:w="90" w:type="dxa"/>
              <w:end w:w="100" w:type="dxa"/>
            </w:tcMar>
            <w:vAlign w:val="center"/>
          </w:tcPr>
          <w:p>
            <w:pPr>
              <w:spacing w:after="0"/>
            </w:pPr>
            <w:r>
              <w:rPr>
                <w:sz w:val="18"/>
              </w:rPr>
              <w:t>Initial Playable Scope and Development Phases</w:t>
            </w:r>
          </w:p>
        </w:tc>
      </w:tr>
      <w:tr>
        <w:trPr>
          <w:cantSplit/>
        </w:trPr>
        <w:tc>
          <w:tcPr>
            <w:tcW w:type="dxa" w:w="1008"/>
            <w:tcMar>
              <w:top w:w="90" w:type="dxa"/>
              <w:start w:w="100" w:type="dxa"/>
              <w:bottom w:w="90" w:type="dxa"/>
              <w:end w:w="100" w:type="dxa"/>
            </w:tcMar>
            <w:vAlign w:val="center"/>
          </w:tcPr>
          <w:p>
            <w:pPr>
              <w:spacing w:after="0"/>
            </w:pPr>
            <w:r>
              <w:rPr>
                <w:sz w:val="18"/>
              </w:rPr>
              <w:t>24</w:t>
            </w:r>
          </w:p>
        </w:tc>
        <w:tc>
          <w:tcPr>
            <w:tcW w:type="dxa" w:w="9072"/>
            <w:tcMar>
              <w:top w:w="90" w:type="dxa"/>
              <w:start w:w="100" w:type="dxa"/>
              <w:bottom w:w="90" w:type="dxa"/>
              <w:end w:w="100" w:type="dxa"/>
            </w:tcMar>
            <w:vAlign w:val="center"/>
          </w:tcPr>
          <w:p>
            <w:pPr>
              <w:spacing w:after="0"/>
            </w:pPr>
            <w:r>
              <w:rPr>
                <w:sz w:val="18"/>
              </w:rPr>
              <w:t>Example First-Year Journey</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EAF1F8"/>
            <w:tcMar>
              <w:top w:w="120" w:type="dxa"/>
              <w:start w:w="160" w:type="dxa"/>
              <w:bottom w:w="120" w:type="dxa"/>
              <w:end w:w="160" w:type="dxa"/>
            </w:tcMar>
          </w:tcPr>
          <w:p>
            <w:r>
              <w:rPr>
                <w:b/>
                <w:color w:val="1F4E79"/>
              </w:rPr>
              <w:t xml:space="preserve">Design stance — </w:t>
            </w:r>
            <w:r>
              <w:t>The game should feel less like clicking through a conventional tycoon menu and more like running a real media company through its internal portal, research tools, trade press, ratings databases, talent marketplace, rights exchange, scheduling board, ERP, and finance systems.</w:t>
            </w:r>
          </w:p>
        </w:tc>
      </w:tr>
    </w:tbl>
    <w:p>
      <w:pPr>
        <w:spacing w:after="0"/>
      </w:pPr>
    </w:p>
    <w:p>
      <w:r>
        <w:br w:type="page"/>
      </w:r>
    </w:p>
    <w:p>
      <w:pPr>
        <w:pStyle w:val="Heading1"/>
      </w:pPr>
      <w:r>
        <w:t>1. Vision and Design Principles</w:t>
      </w:r>
    </w:p>
    <w:p>
      <w:r>
        <w:t>TV Empire Chronicle combines the persistent people-and-history simulation of the sports Chronicle games with the strategic responsibility of a chief executive. It is not merely a show factory. It is a world in which channels, stations, streamers, studios, agencies, advertisers, leagues, journalists, critics, and thousands of professionals compete over attention, talent, rights, money, prestige, and geographic reach.</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shd w:fill="1F4E79"/>
            <w:tcMar>
              <w:top w:w="90" w:type="dxa"/>
              <w:start w:w="100" w:type="dxa"/>
              <w:bottom w:w="90" w:type="dxa"/>
              <w:end w:w="100" w:type="dxa"/>
            </w:tcMar>
            <w:vAlign w:val="center"/>
          </w:tcPr>
          <w:p>
            <w:pPr>
              <w:jc w:val="center"/>
            </w:pPr>
            <w:r>
              <w:rPr>
                <w:b/>
                <w:color w:val="FFFFFF"/>
                <w:sz w:val="17"/>
              </w:rPr>
              <w:t>Principle</w:t>
            </w:r>
          </w:p>
        </w:tc>
        <w:tc>
          <w:tcPr>
            <w:tcW w:type="dxa" w:w="7488"/>
            <w:shd w:fill="1F4E79"/>
            <w:tcMar>
              <w:top w:w="90" w:type="dxa"/>
              <w:start w:w="100" w:type="dxa"/>
              <w:bottom w:w="90" w:type="dxa"/>
              <w:end w:w="100" w:type="dxa"/>
            </w:tcMar>
            <w:vAlign w:val="center"/>
          </w:tcPr>
          <w:p>
            <w:pPr>
              <w:jc w:val="center"/>
            </w:pPr>
            <w:r>
              <w:rPr>
                <w:b/>
                <w:color w:val="FFFFFF"/>
                <w:sz w:val="17"/>
              </w:rPr>
              <w:t>Meaning</w:t>
            </w:r>
          </w:p>
        </w:tc>
      </w:tr>
      <w:tr>
        <w:trPr>
          <w:cantSplit/>
        </w:trPr>
        <w:tc>
          <w:tcPr>
            <w:tcW w:type="dxa" w:w="2592"/>
            <w:tcMar>
              <w:top w:w="90" w:type="dxa"/>
              <w:start w:w="100" w:type="dxa"/>
              <w:bottom w:w="90" w:type="dxa"/>
              <w:end w:w="100" w:type="dxa"/>
            </w:tcMar>
            <w:vAlign w:val="center"/>
          </w:tcPr>
          <w:p>
            <w:pPr>
              <w:spacing w:after="0"/>
            </w:pPr>
            <w:r>
              <w:rPr>
                <w:sz w:val="17"/>
              </w:rPr>
              <w:t>A living world, not a puzzle</w:t>
            </w:r>
          </w:p>
        </w:tc>
        <w:tc>
          <w:tcPr>
            <w:tcW w:type="dxa" w:w="7488"/>
            <w:tcMar>
              <w:top w:w="90" w:type="dxa"/>
              <w:start w:w="100" w:type="dxa"/>
              <w:bottom w:w="90" w:type="dxa"/>
              <w:end w:w="100" w:type="dxa"/>
            </w:tcMar>
            <w:vAlign w:val="center"/>
          </w:tcPr>
          <w:p>
            <w:pPr>
              <w:spacing w:after="0"/>
            </w:pPr>
            <w:r>
              <w:rPr>
                <w:sz w:val="17"/>
              </w:rPr>
              <w:t>Competitors commission, cancel, poach, merge, expand, overspend, fail, and create stars independently of the player.</w:t>
            </w:r>
          </w:p>
        </w:tc>
      </w:tr>
      <w:tr>
        <w:trPr>
          <w:cantSplit/>
        </w:trPr>
        <w:tc>
          <w:tcPr>
            <w:tcW w:type="dxa" w:w="2592"/>
            <w:tcMar>
              <w:top w:w="90" w:type="dxa"/>
              <w:start w:w="100" w:type="dxa"/>
              <w:bottom w:w="90" w:type="dxa"/>
              <w:end w:w="100" w:type="dxa"/>
            </w:tcMar>
            <w:vAlign w:val="center"/>
          </w:tcPr>
          <w:p>
            <w:pPr>
              <w:spacing w:after="0"/>
            </w:pPr>
            <w:r>
              <w:rPr>
                <w:sz w:val="17"/>
              </w:rPr>
              <w:t>Decisions create cost</w:t>
            </w:r>
          </w:p>
        </w:tc>
        <w:tc>
          <w:tcPr>
            <w:tcW w:type="dxa" w:w="7488"/>
            <w:tcMar>
              <w:top w:w="90" w:type="dxa"/>
              <w:start w:w="100" w:type="dxa"/>
              <w:bottom w:w="90" w:type="dxa"/>
              <w:end w:w="100" w:type="dxa"/>
            </w:tcMar>
            <w:vAlign w:val="center"/>
          </w:tcPr>
          <w:p>
            <w:pPr>
              <w:spacing w:after="0"/>
            </w:pPr>
            <w:r>
              <w:rPr>
                <w:sz w:val="17"/>
              </w:rPr>
              <w:t>Budgets emerge from concrete creative and operational choices rather than one generic quality slider.</w:t>
            </w:r>
          </w:p>
        </w:tc>
      </w:tr>
      <w:tr>
        <w:trPr>
          <w:cantSplit/>
        </w:trPr>
        <w:tc>
          <w:tcPr>
            <w:tcW w:type="dxa" w:w="2592"/>
            <w:tcMar>
              <w:top w:w="90" w:type="dxa"/>
              <w:start w:w="100" w:type="dxa"/>
              <w:bottom w:w="90" w:type="dxa"/>
              <w:end w:w="100" w:type="dxa"/>
            </w:tcMar>
            <w:vAlign w:val="center"/>
          </w:tcPr>
          <w:p>
            <w:pPr>
              <w:spacing w:after="0"/>
            </w:pPr>
            <w:r>
              <w:rPr>
                <w:sz w:val="17"/>
              </w:rPr>
              <w:t>People and programs have careers</w:t>
            </w:r>
          </w:p>
        </w:tc>
        <w:tc>
          <w:tcPr>
            <w:tcW w:type="dxa" w:w="7488"/>
            <w:tcMar>
              <w:top w:w="90" w:type="dxa"/>
              <w:start w:w="100" w:type="dxa"/>
              <w:bottom w:w="90" w:type="dxa"/>
              <w:end w:w="100" w:type="dxa"/>
            </w:tcMar>
            <w:vAlign w:val="center"/>
          </w:tcPr>
          <w:p>
            <w:pPr>
              <w:spacing w:after="0"/>
            </w:pPr>
            <w:r>
              <w:rPr>
                <w:sz w:val="17"/>
              </w:rPr>
              <w:t>Every show, actor, host, director, writer, executive, and network accumulates a history that remains visible.</w:t>
            </w:r>
          </w:p>
        </w:tc>
      </w:tr>
      <w:tr>
        <w:trPr>
          <w:cantSplit/>
        </w:trPr>
        <w:tc>
          <w:tcPr>
            <w:tcW w:type="dxa" w:w="2592"/>
            <w:tcMar>
              <w:top w:w="90" w:type="dxa"/>
              <w:start w:w="100" w:type="dxa"/>
              <w:bottom w:w="90" w:type="dxa"/>
              <w:end w:w="100" w:type="dxa"/>
            </w:tcMar>
            <w:vAlign w:val="center"/>
          </w:tcPr>
          <w:p>
            <w:pPr>
              <w:spacing w:after="0"/>
            </w:pPr>
            <w:r>
              <w:rPr>
                <w:sz w:val="17"/>
              </w:rPr>
              <w:t>Different paths are legitimate</w:t>
            </w:r>
          </w:p>
        </w:tc>
        <w:tc>
          <w:tcPr>
            <w:tcW w:type="dxa" w:w="7488"/>
            <w:tcMar>
              <w:top w:w="90" w:type="dxa"/>
              <w:start w:w="100" w:type="dxa"/>
              <w:bottom w:w="90" w:type="dxa"/>
              <w:end w:w="100" w:type="dxa"/>
            </w:tcMar>
            <w:vAlign w:val="center"/>
          </w:tcPr>
          <w:p>
            <w:pPr>
              <w:spacing w:after="0"/>
            </w:pPr>
            <w:r>
              <w:rPr>
                <w:sz w:val="17"/>
              </w:rPr>
              <w:t>Local dominance, regional syndication, cable specialization, national broadcasting, sports leadership, prestige programming, and streaming are distinct strategies.</w:t>
            </w:r>
          </w:p>
        </w:tc>
      </w:tr>
      <w:tr>
        <w:trPr>
          <w:cantSplit/>
        </w:trPr>
        <w:tc>
          <w:tcPr>
            <w:tcW w:type="dxa" w:w="2592"/>
            <w:tcMar>
              <w:top w:w="90" w:type="dxa"/>
              <w:start w:w="100" w:type="dxa"/>
              <w:bottom w:w="90" w:type="dxa"/>
              <w:end w:w="100" w:type="dxa"/>
            </w:tcMar>
            <w:vAlign w:val="center"/>
          </w:tcPr>
          <w:p>
            <w:pPr>
              <w:spacing w:after="0"/>
            </w:pPr>
            <w:r>
              <w:rPr>
                <w:sz w:val="17"/>
              </w:rPr>
              <w:t>Accessible surface, deep model</w:t>
            </w:r>
          </w:p>
        </w:tc>
        <w:tc>
          <w:tcPr>
            <w:tcW w:type="dxa" w:w="7488"/>
            <w:tcMar>
              <w:top w:w="90" w:type="dxa"/>
              <w:start w:w="100" w:type="dxa"/>
              <w:bottom w:w="90" w:type="dxa"/>
              <w:end w:w="100" w:type="dxa"/>
            </w:tcMar>
            <w:vAlign w:val="center"/>
          </w:tcPr>
          <w:p>
            <w:pPr>
              <w:spacing w:after="0"/>
            </w:pPr>
            <w:r>
              <w:rPr>
                <w:sz w:val="17"/>
              </w:rPr>
              <w:t>A player can operate through dashboards and recommendations, while experts can inspect ratings, contracts, audience flow, unit economics, and production details.</w:t>
            </w:r>
          </w:p>
        </w:tc>
      </w:tr>
      <w:tr>
        <w:trPr>
          <w:cantSplit/>
        </w:trPr>
        <w:tc>
          <w:tcPr>
            <w:tcW w:type="dxa" w:w="2592"/>
            <w:tcMar>
              <w:top w:w="90" w:type="dxa"/>
              <w:start w:w="100" w:type="dxa"/>
              <w:bottom w:w="90" w:type="dxa"/>
              <w:end w:w="100" w:type="dxa"/>
            </w:tcMar>
            <w:vAlign w:val="center"/>
          </w:tcPr>
          <w:p>
            <w:pPr>
              <w:spacing w:after="0"/>
            </w:pPr>
            <w:r>
              <w:rPr>
                <w:sz w:val="17"/>
              </w:rPr>
              <w:t>Narrative from systems</w:t>
            </w:r>
          </w:p>
        </w:tc>
        <w:tc>
          <w:tcPr>
            <w:tcW w:type="dxa" w:w="7488"/>
            <w:tcMar>
              <w:top w:w="90" w:type="dxa"/>
              <w:start w:w="100" w:type="dxa"/>
              <w:bottom w:w="90" w:type="dxa"/>
              <w:end w:w="100" w:type="dxa"/>
            </w:tcMar>
            <w:vAlign w:val="center"/>
          </w:tcPr>
          <w:p>
            <w:pPr>
              <w:spacing w:after="0"/>
            </w:pPr>
            <w:r>
              <w:rPr>
                <w:sz w:val="17"/>
              </w:rPr>
              <w:t>Stories should arise from ratings, contracts, creative fit, scheduling, market changes, and personalities—not from disconnected random events.</w:t>
            </w:r>
          </w:p>
        </w:tc>
      </w:tr>
    </w:tbl>
    <w:p>
      <w:pPr>
        <w:spacing w:after="0"/>
      </w:pPr>
    </w:p>
    <w:p>
      <w:pPr>
        <w:pStyle w:val="Heading1"/>
      </w:pPr>
      <w:r>
        <w:t>2. The Player Fantasy and Career Paths</w:t>
      </w:r>
    </w:p>
    <w:p>
      <w:r>
        <w:t>The default campaign begins with a financially constrained local station serving northern Illinois. The station owns limited terrestrial reach, carries a mixture of cheap syndicated content, local news, purchased movie packages, and a small amount of original programming. The player has enough autonomy to define its identity, but not enough scale to compete everywhere at once.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shd w:fill="1F4E79"/>
            <w:tcMar>
              <w:top w:w="90" w:type="dxa"/>
              <w:start w:w="100" w:type="dxa"/>
              <w:bottom w:w="90" w:type="dxa"/>
              <w:end w:w="100" w:type="dxa"/>
            </w:tcMar>
            <w:vAlign w:val="center"/>
          </w:tcPr>
          <w:p>
            <w:pPr>
              <w:jc w:val="center"/>
            </w:pPr>
            <w:r>
              <w:rPr>
                <w:b/>
                <w:color w:val="FFFFFF"/>
                <w:sz w:val="17"/>
              </w:rPr>
              <w:t>Strategic destination</w:t>
            </w:r>
          </w:p>
        </w:tc>
        <w:tc>
          <w:tcPr>
            <w:tcW w:type="dxa" w:w="7488"/>
            <w:shd w:fill="1F4E79"/>
            <w:tcMar>
              <w:top w:w="90" w:type="dxa"/>
              <w:start w:w="100" w:type="dxa"/>
              <w:bottom w:w="90" w:type="dxa"/>
              <w:end w:w="100" w:type="dxa"/>
            </w:tcMar>
            <w:vAlign w:val="center"/>
          </w:tcPr>
          <w:p>
            <w:pPr>
              <w:jc w:val="center"/>
            </w:pPr>
            <w:r>
              <w:rPr>
                <w:b/>
                <w:color w:val="FFFFFF"/>
                <w:sz w:val="17"/>
              </w:rPr>
              <w:t>What mastery requires</w:t>
            </w:r>
          </w:p>
        </w:tc>
      </w:tr>
      <w:tr>
        <w:trPr>
          <w:cantSplit/>
        </w:trPr>
        <w:tc>
          <w:tcPr>
            <w:tcW w:type="dxa" w:w="2592"/>
            <w:tcMar>
              <w:top w:w="90" w:type="dxa"/>
              <w:start w:w="100" w:type="dxa"/>
              <w:bottom w:w="90" w:type="dxa"/>
              <w:end w:w="100" w:type="dxa"/>
            </w:tcMar>
            <w:vAlign w:val="center"/>
          </w:tcPr>
          <w:p>
            <w:pPr>
              <w:spacing w:after="0"/>
            </w:pPr>
            <w:r>
              <w:rPr>
                <w:sz w:val="17"/>
              </w:rPr>
              <w:t>Local institution</w:t>
            </w:r>
          </w:p>
        </w:tc>
        <w:tc>
          <w:tcPr>
            <w:tcW w:type="dxa" w:w="7488"/>
            <w:tcMar>
              <w:top w:w="90" w:type="dxa"/>
              <w:start w:w="100" w:type="dxa"/>
              <w:bottom w:w="90" w:type="dxa"/>
              <w:end w:w="100" w:type="dxa"/>
            </w:tcMar>
            <w:vAlign w:val="center"/>
          </w:tcPr>
          <w:p>
            <w:pPr>
              <w:spacing w:after="0"/>
            </w:pPr>
            <w:r>
              <w:rPr>
                <w:sz w:val="17"/>
              </w:rPr>
              <w:t>Dominate one metro or sub-region through local news, weather, community events, local sports, and trusted personalities.</w:t>
            </w:r>
          </w:p>
        </w:tc>
      </w:tr>
      <w:tr>
        <w:trPr>
          <w:cantSplit/>
        </w:trPr>
        <w:tc>
          <w:tcPr>
            <w:tcW w:type="dxa" w:w="2592"/>
            <w:tcMar>
              <w:top w:w="90" w:type="dxa"/>
              <w:start w:w="100" w:type="dxa"/>
              <w:bottom w:w="90" w:type="dxa"/>
              <w:end w:w="100" w:type="dxa"/>
            </w:tcMar>
            <w:vAlign w:val="center"/>
          </w:tcPr>
          <w:p>
            <w:pPr>
              <w:spacing w:after="0"/>
            </w:pPr>
            <w:r>
              <w:rPr>
                <w:sz w:val="17"/>
              </w:rPr>
              <w:t>Regional superstation</w:t>
            </w:r>
          </w:p>
        </w:tc>
        <w:tc>
          <w:tcPr>
            <w:tcW w:type="dxa" w:w="7488"/>
            <w:tcMar>
              <w:top w:w="90" w:type="dxa"/>
              <w:start w:w="100" w:type="dxa"/>
              <w:bottom w:w="90" w:type="dxa"/>
              <w:end w:w="100" w:type="dxa"/>
            </w:tcMar>
            <w:vAlign w:val="center"/>
          </w:tcPr>
          <w:p>
            <w:pPr>
              <w:spacing w:after="0"/>
            </w:pPr>
            <w:r>
              <w:rPr>
                <w:sz w:val="17"/>
              </w:rPr>
              <w:t>Acquire transmission, affiliates, carriage, and rights across the Midwest; syndicate originals and become culturally identified with the region.</w:t>
            </w:r>
          </w:p>
        </w:tc>
      </w:tr>
      <w:tr>
        <w:trPr>
          <w:cantSplit/>
        </w:trPr>
        <w:tc>
          <w:tcPr>
            <w:tcW w:type="dxa" w:w="2592"/>
            <w:tcMar>
              <w:top w:w="90" w:type="dxa"/>
              <w:start w:w="100" w:type="dxa"/>
              <w:bottom w:w="90" w:type="dxa"/>
              <w:end w:w="100" w:type="dxa"/>
            </w:tcMar>
            <w:vAlign w:val="center"/>
          </w:tcPr>
          <w:p>
            <w:pPr>
              <w:spacing w:after="0"/>
            </w:pPr>
            <w:r>
              <w:rPr>
                <w:sz w:val="17"/>
              </w:rPr>
              <w:t>National broadcast network</w:t>
            </w:r>
          </w:p>
        </w:tc>
        <w:tc>
          <w:tcPr>
            <w:tcW w:type="dxa" w:w="7488"/>
            <w:tcMar>
              <w:top w:w="90" w:type="dxa"/>
              <w:start w:w="100" w:type="dxa"/>
              <w:bottom w:w="90" w:type="dxa"/>
              <w:end w:w="100" w:type="dxa"/>
            </w:tcMar>
            <w:vAlign w:val="center"/>
          </w:tcPr>
          <w:p>
            <w:pPr>
              <w:spacing w:after="0"/>
            </w:pPr>
            <w:r>
              <w:rPr>
                <w:sz w:val="17"/>
              </w:rPr>
              <w:t>Build or affiliate a national station footprint, secure prime sports and entertainment rights, sustain a broad schedule, and compete with major networks.</w:t>
            </w:r>
          </w:p>
        </w:tc>
      </w:tr>
      <w:tr>
        <w:trPr>
          <w:cantSplit/>
        </w:trPr>
        <w:tc>
          <w:tcPr>
            <w:tcW w:type="dxa" w:w="2592"/>
            <w:tcMar>
              <w:top w:w="90" w:type="dxa"/>
              <w:start w:w="100" w:type="dxa"/>
              <w:bottom w:w="90" w:type="dxa"/>
              <w:end w:w="100" w:type="dxa"/>
            </w:tcMar>
            <w:vAlign w:val="center"/>
          </w:tcPr>
          <w:p>
            <w:pPr>
              <w:spacing w:after="0"/>
            </w:pPr>
            <w:r>
              <w:rPr>
                <w:sz w:val="17"/>
              </w:rPr>
              <w:t>Cable specialist</w:t>
            </w:r>
          </w:p>
        </w:tc>
        <w:tc>
          <w:tcPr>
            <w:tcW w:type="dxa" w:w="7488"/>
            <w:tcMar>
              <w:top w:w="90" w:type="dxa"/>
              <w:start w:w="100" w:type="dxa"/>
              <w:bottom w:w="90" w:type="dxa"/>
              <w:end w:w="100" w:type="dxa"/>
            </w:tcMar>
            <w:vAlign w:val="center"/>
          </w:tcPr>
          <w:p>
            <w:pPr>
              <w:spacing w:after="0"/>
            </w:pPr>
            <w:r>
              <w:rPr>
                <w:sz w:val="17"/>
              </w:rPr>
              <w:t>Develop a powerful thematic channel—news, sports, lifestyle, children, documentaries, movies, or reality—and negotiate national carriage.</w:t>
            </w:r>
          </w:p>
        </w:tc>
      </w:tr>
      <w:tr>
        <w:trPr>
          <w:cantSplit/>
        </w:trPr>
        <w:tc>
          <w:tcPr>
            <w:tcW w:type="dxa" w:w="2592"/>
            <w:tcMar>
              <w:top w:w="90" w:type="dxa"/>
              <w:start w:w="100" w:type="dxa"/>
              <w:bottom w:w="90" w:type="dxa"/>
              <w:end w:w="100" w:type="dxa"/>
            </w:tcMar>
            <w:vAlign w:val="center"/>
          </w:tcPr>
          <w:p>
            <w:pPr>
              <w:spacing w:after="0"/>
            </w:pPr>
            <w:r>
              <w:rPr>
                <w:sz w:val="17"/>
              </w:rPr>
              <w:t>Streaming-first company</w:t>
            </w:r>
          </w:p>
        </w:tc>
        <w:tc>
          <w:tcPr>
            <w:tcW w:type="dxa" w:w="7488"/>
            <w:tcMar>
              <w:top w:w="90" w:type="dxa"/>
              <w:start w:w="100" w:type="dxa"/>
              <w:bottom w:w="90" w:type="dxa"/>
              <w:end w:w="100" w:type="dxa"/>
            </w:tcMar>
            <w:vAlign w:val="center"/>
          </w:tcPr>
          <w:p>
            <w:pPr>
              <w:spacing w:after="0"/>
            </w:pPr>
            <w:r>
              <w:rPr>
                <w:sz w:val="17"/>
              </w:rPr>
              <w:t>Use the station as a launchpad for a subscription or ad-supported platform with originals, library rights, personalization, and churn management.</w:t>
            </w:r>
          </w:p>
        </w:tc>
      </w:tr>
      <w:tr>
        <w:trPr>
          <w:cantSplit/>
        </w:trPr>
        <w:tc>
          <w:tcPr>
            <w:tcW w:type="dxa" w:w="2592"/>
            <w:tcMar>
              <w:top w:w="90" w:type="dxa"/>
              <w:start w:w="100" w:type="dxa"/>
              <w:bottom w:w="90" w:type="dxa"/>
              <w:end w:w="100" w:type="dxa"/>
            </w:tcMar>
            <w:vAlign w:val="center"/>
          </w:tcPr>
          <w:p>
            <w:pPr>
              <w:spacing w:after="0"/>
            </w:pPr>
            <w:r>
              <w:rPr>
                <w:sz w:val="17"/>
              </w:rPr>
              <w:t>Integrated media empire</w:t>
            </w:r>
          </w:p>
        </w:tc>
        <w:tc>
          <w:tcPr>
            <w:tcW w:type="dxa" w:w="7488"/>
            <w:tcMar>
              <w:top w:w="90" w:type="dxa"/>
              <w:start w:w="100" w:type="dxa"/>
              <w:bottom w:w="90" w:type="dxa"/>
              <w:end w:w="100" w:type="dxa"/>
            </w:tcMar>
            <w:vAlign w:val="center"/>
          </w:tcPr>
          <w:p>
            <w:pPr>
              <w:spacing w:after="0"/>
            </w:pPr>
            <w:r>
              <w:rPr>
                <w:sz w:val="17"/>
              </w:rPr>
              <w:t>Own studios, channels, streaming, regional stations, production companies, rights libraries, and talent relationships.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EAF1F8"/>
            <w:tcMar>
              <w:top w:w="120" w:type="dxa"/>
              <w:start w:w="160" w:type="dxa"/>
              <w:bottom w:w="120" w:type="dxa"/>
              <w:end w:w="160" w:type="dxa"/>
            </w:tcMar>
          </w:tcPr>
          <w:p>
            <w:r>
              <w:rPr>
                <w:b/>
                <w:color w:val="1F4E79"/>
              </w:rPr>
              <w:t xml:space="preserve">No linear level ladder — </w:t>
            </w:r>
            <w:r>
              <w:t>A regional news leader is not simply “Level 4” on the way to becoming NBC. It may remain regionally focused and become extraordinarily profitable and influential. Scale, format, geography, brand, capability, and ownership are separate dimensions.</w:t>
            </w:r>
          </w:p>
        </w:tc>
      </w:tr>
    </w:tbl>
    <w:p>
      <w:pPr>
        <w:spacing w:after="0"/>
      </w:pPr>
    </w:p>
    <w:p>
      <w:pPr>
        <w:pStyle w:val="Heading1"/>
      </w:pPr>
      <w:r>
        <w:t>3. The Living Broadcast Universe</w:t>
      </w:r>
    </w:p>
    <w:p>
      <w:r>
        <w:t>The universe must be large enough that the player can discover people, programs, markets, and institutions rather than merely unlock predetermined options. It should begin with a generated but coherent national media landscape and then record every meaningful year.</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7"/>
              </w:rPr>
              <w:t>Entity group</w:t>
            </w:r>
          </w:p>
        </w:tc>
        <w:tc>
          <w:tcPr>
            <w:tcW w:type="dxa" w:w="7848"/>
            <w:shd w:fill="1F4E79"/>
            <w:tcMar>
              <w:top w:w="90" w:type="dxa"/>
              <w:start w:w="100" w:type="dxa"/>
              <w:bottom w:w="90" w:type="dxa"/>
              <w:end w:w="100" w:type="dxa"/>
            </w:tcMar>
            <w:vAlign w:val="center"/>
          </w:tcPr>
          <w:p>
            <w:pPr>
              <w:jc w:val="center"/>
            </w:pPr>
            <w:r>
              <w:rPr>
                <w:b/>
                <w:color w:val="FFFFFF"/>
                <w:sz w:val="17"/>
              </w:rPr>
              <w:t>Examples and purpose</w:t>
            </w:r>
          </w:p>
        </w:tc>
      </w:tr>
      <w:tr>
        <w:trPr>
          <w:cantSplit/>
        </w:trPr>
        <w:tc>
          <w:tcPr>
            <w:tcW w:type="dxa" w:w="2232"/>
            <w:tcMar>
              <w:top w:w="90" w:type="dxa"/>
              <w:start w:w="100" w:type="dxa"/>
              <w:bottom w:w="90" w:type="dxa"/>
              <w:end w:w="100" w:type="dxa"/>
            </w:tcMar>
            <w:vAlign w:val="center"/>
          </w:tcPr>
          <w:p>
            <w:pPr>
              <w:spacing w:after="0"/>
            </w:pPr>
            <w:r>
              <w:rPr>
                <w:sz w:val="17"/>
              </w:rPr>
              <w:t>Broadcasters</w:t>
            </w:r>
          </w:p>
        </w:tc>
        <w:tc>
          <w:tcPr>
            <w:tcW w:type="dxa" w:w="7848"/>
            <w:tcMar>
              <w:top w:w="90" w:type="dxa"/>
              <w:start w:w="100" w:type="dxa"/>
              <w:bottom w:w="90" w:type="dxa"/>
              <w:end w:w="100" w:type="dxa"/>
            </w:tcMar>
            <w:vAlign w:val="center"/>
          </w:tcPr>
          <w:p>
            <w:pPr>
              <w:spacing w:after="0"/>
            </w:pPr>
            <w:r>
              <w:rPr>
                <w:sz w:val="17"/>
              </w:rPr>
              <w:t>Local stations, regional networks, national broadcast networks, cable channels, streamers, public broadcasters.</w:t>
            </w:r>
          </w:p>
        </w:tc>
      </w:tr>
      <w:tr>
        <w:trPr>
          <w:cantSplit/>
        </w:trPr>
        <w:tc>
          <w:tcPr>
            <w:tcW w:type="dxa" w:w="2232"/>
            <w:tcMar>
              <w:top w:w="90" w:type="dxa"/>
              <w:start w:w="100" w:type="dxa"/>
              <w:bottom w:w="90" w:type="dxa"/>
              <w:end w:w="100" w:type="dxa"/>
            </w:tcMar>
            <w:vAlign w:val="center"/>
          </w:tcPr>
          <w:p>
            <w:pPr>
              <w:spacing w:after="0"/>
            </w:pPr>
            <w:r>
              <w:rPr>
                <w:sz w:val="17"/>
              </w:rPr>
              <w:t>Studios and producers</w:t>
            </w:r>
          </w:p>
        </w:tc>
        <w:tc>
          <w:tcPr>
            <w:tcW w:type="dxa" w:w="7848"/>
            <w:tcMar>
              <w:top w:w="90" w:type="dxa"/>
              <w:start w:w="100" w:type="dxa"/>
              <w:bottom w:w="90" w:type="dxa"/>
              <w:end w:w="100" w:type="dxa"/>
            </w:tcMar>
            <w:vAlign w:val="center"/>
          </w:tcPr>
          <w:p>
            <w:pPr>
              <w:spacing w:after="0"/>
            </w:pPr>
            <w:r>
              <w:rPr>
                <w:sz w:val="17"/>
              </w:rPr>
              <w:t>Independent producers, network-owned studios, documentary houses, reality specialists, animation studios, news services.</w:t>
            </w:r>
          </w:p>
        </w:tc>
      </w:tr>
      <w:tr>
        <w:trPr>
          <w:cantSplit/>
        </w:trPr>
        <w:tc>
          <w:tcPr>
            <w:tcW w:type="dxa" w:w="2232"/>
            <w:tcMar>
              <w:top w:w="90" w:type="dxa"/>
              <w:start w:w="100" w:type="dxa"/>
              <w:bottom w:w="90" w:type="dxa"/>
              <w:end w:w="100" w:type="dxa"/>
            </w:tcMar>
            <w:vAlign w:val="center"/>
          </w:tcPr>
          <w:p>
            <w:pPr>
              <w:spacing w:after="0"/>
            </w:pPr>
            <w:r>
              <w:rPr>
                <w:sz w:val="17"/>
              </w:rPr>
              <w:t>Talent ecosystem</w:t>
            </w:r>
          </w:p>
        </w:tc>
        <w:tc>
          <w:tcPr>
            <w:tcW w:type="dxa" w:w="7848"/>
            <w:tcMar>
              <w:top w:w="90" w:type="dxa"/>
              <w:start w:w="100" w:type="dxa"/>
              <w:bottom w:w="90" w:type="dxa"/>
              <w:end w:w="100" w:type="dxa"/>
            </w:tcMar>
            <w:vAlign w:val="center"/>
          </w:tcPr>
          <w:p>
            <w:pPr>
              <w:spacing w:after="0"/>
            </w:pPr>
            <w:r>
              <w:rPr>
                <w:sz w:val="17"/>
              </w:rPr>
              <w:t>Actors, hosts, presenters, anchors, journalists, writers, directors, producers, composers, editors, crew leads, agents.</w:t>
            </w:r>
          </w:p>
        </w:tc>
      </w:tr>
      <w:tr>
        <w:trPr>
          <w:cantSplit/>
        </w:trPr>
        <w:tc>
          <w:tcPr>
            <w:tcW w:type="dxa" w:w="2232"/>
            <w:tcMar>
              <w:top w:w="90" w:type="dxa"/>
              <w:start w:w="100" w:type="dxa"/>
              <w:bottom w:w="90" w:type="dxa"/>
              <w:end w:w="100" w:type="dxa"/>
            </w:tcMar>
            <w:vAlign w:val="center"/>
          </w:tcPr>
          <w:p>
            <w:pPr>
              <w:spacing w:after="0"/>
            </w:pPr>
            <w:r>
              <w:rPr>
                <w:sz w:val="17"/>
              </w:rPr>
              <w:t>Rights holders</w:t>
            </w:r>
          </w:p>
        </w:tc>
        <w:tc>
          <w:tcPr>
            <w:tcW w:type="dxa" w:w="7848"/>
            <w:tcMar>
              <w:top w:w="90" w:type="dxa"/>
              <w:start w:w="100" w:type="dxa"/>
              <w:bottom w:w="90" w:type="dxa"/>
              <w:end w:w="100" w:type="dxa"/>
            </w:tcMar>
            <w:vAlign w:val="center"/>
          </w:tcPr>
          <w:p>
            <w:pPr>
              <w:spacing w:after="0"/>
            </w:pPr>
            <w:r>
              <w:rPr>
                <w:sz w:val="17"/>
              </w:rPr>
              <w:t>Sports leagues, movie studios, distributors, archives, event promoters, format owners.</w:t>
            </w:r>
          </w:p>
        </w:tc>
      </w:tr>
      <w:tr>
        <w:trPr>
          <w:cantSplit/>
        </w:trPr>
        <w:tc>
          <w:tcPr>
            <w:tcW w:type="dxa" w:w="2232"/>
            <w:tcMar>
              <w:top w:w="90" w:type="dxa"/>
              <w:start w:w="100" w:type="dxa"/>
              <w:bottom w:w="90" w:type="dxa"/>
              <w:end w:w="100" w:type="dxa"/>
            </w:tcMar>
            <w:vAlign w:val="center"/>
          </w:tcPr>
          <w:p>
            <w:pPr>
              <w:spacing w:after="0"/>
            </w:pPr>
            <w:r>
              <w:rPr>
                <w:sz w:val="17"/>
              </w:rPr>
              <w:t>Commercial ecosystem</w:t>
            </w:r>
          </w:p>
        </w:tc>
        <w:tc>
          <w:tcPr>
            <w:tcW w:type="dxa" w:w="7848"/>
            <w:tcMar>
              <w:top w:w="90" w:type="dxa"/>
              <w:start w:w="100" w:type="dxa"/>
              <w:bottom w:w="90" w:type="dxa"/>
              <w:end w:w="100" w:type="dxa"/>
            </w:tcMar>
            <w:vAlign w:val="center"/>
          </w:tcPr>
          <w:p>
            <w:pPr>
              <w:spacing w:after="0"/>
            </w:pPr>
            <w:r>
              <w:rPr>
                <w:sz w:val="17"/>
              </w:rPr>
              <w:t>Advertisers, agencies, retailers, sponsors, cable operators, digital platforms, affiliates, syndication buyers.</w:t>
            </w:r>
          </w:p>
        </w:tc>
      </w:tr>
      <w:tr>
        <w:trPr>
          <w:cantSplit/>
        </w:trPr>
        <w:tc>
          <w:tcPr>
            <w:tcW w:type="dxa" w:w="2232"/>
            <w:tcMar>
              <w:top w:w="90" w:type="dxa"/>
              <w:start w:w="100" w:type="dxa"/>
              <w:bottom w:w="90" w:type="dxa"/>
              <w:end w:w="100" w:type="dxa"/>
            </w:tcMar>
            <w:vAlign w:val="center"/>
          </w:tcPr>
          <w:p>
            <w:pPr>
              <w:spacing w:after="0"/>
            </w:pPr>
            <w:r>
              <w:rPr>
                <w:sz w:val="17"/>
              </w:rPr>
              <w:t>Public layer</w:t>
            </w:r>
          </w:p>
        </w:tc>
        <w:tc>
          <w:tcPr>
            <w:tcW w:type="dxa" w:w="7848"/>
            <w:tcMar>
              <w:top w:w="90" w:type="dxa"/>
              <w:start w:w="100" w:type="dxa"/>
              <w:bottom w:w="90" w:type="dxa"/>
              <w:end w:w="100" w:type="dxa"/>
            </w:tcMar>
            <w:vAlign w:val="center"/>
          </w:tcPr>
          <w:p>
            <w:pPr>
              <w:spacing w:after="0"/>
            </w:pPr>
            <w:r>
              <w:rPr>
                <w:sz w:val="17"/>
              </w:rPr>
              <w:t>Audience segments, critics, fan communities, regulators, awards, trade press, local press, social sentiment.</w:t>
            </w:r>
          </w:p>
        </w:tc>
      </w:tr>
    </w:tbl>
    <w:p>
      <w:pPr>
        <w:spacing w:after="0"/>
      </w:pPr>
    </w:p>
    <w:p>
      <w:r>
        <w:t>The game should maintain an industry map showing ownership, geographic reach, audience share, brand positioning, flagship programs, recent strategic moves, financial strength, and major relationships. Corporate acquisitions and failures can reshape this map over decades.</w:t>
      </w:r>
    </w:p>
    <w:p>
      <w:pPr>
        <w:pStyle w:val="Heading1"/>
      </w:pPr>
      <w:r>
        <w:t>4. Network Scale, Distribution, and Expansion</w:t>
      </w:r>
    </w:p>
    <w:p>
      <w:pPr>
        <w:pStyle w:val="Heading2"/>
      </w:pPr>
      <w:r>
        <w:t>4.1 Reach is assembled from assets and agreements</w:t>
      </w:r>
    </w:p>
    <w:p>
      <w:r>
        <w:t>A network does not become regional or national by purchasing a single abstract upgrade. Reach is built through a portfolio of physical infrastructure, spectrum or emission rights, affiliate agreements, cable carriage, digital distribution, brand demand, and content rights. Each distribution method has different economics and strategic consequences.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20"/>
            <w:shd w:fill="1F4E79"/>
            <w:tcMar>
              <w:top w:w="90" w:type="dxa"/>
              <w:start w:w="100" w:type="dxa"/>
              <w:bottom w:w="90" w:type="dxa"/>
              <w:end w:w="100" w:type="dxa"/>
            </w:tcMar>
            <w:vAlign w:val="center"/>
          </w:tcPr>
          <w:p>
            <w:pPr>
              <w:jc w:val="center"/>
            </w:pPr>
            <w:r>
              <w:rPr>
                <w:b/>
                <w:color w:val="FFFFFF"/>
                <w:sz w:val="16"/>
              </w:rPr>
              <w:t>Distribution route</w:t>
            </w:r>
          </w:p>
        </w:tc>
        <w:tc>
          <w:tcPr>
            <w:tcW w:type="dxa" w:w="7560"/>
            <w:shd w:fill="1F4E79"/>
            <w:tcMar>
              <w:top w:w="90" w:type="dxa"/>
              <w:start w:w="100" w:type="dxa"/>
              <w:bottom w:w="90" w:type="dxa"/>
              <w:end w:w="100" w:type="dxa"/>
            </w:tcMar>
            <w:vAlign w:val="center"/>
          </w:tcPr>
          <w:p>
            <w:pPr>
              <w:jc w:val="center"/>
            </w:pPr>
            <w:r>
              <w:rPr>
                <w:b/>
                <w:color w:val="FFFFFF"/>
                <w:sz w:val="16"/>
              </w:rPr>
              <w:t>Strategic characteristics</w:t>
            </w:r>
          </w:p>
        </w:tc>
      </w:tr>
      <w:tr>
        <w:trPr>
          <w:cantSplit/>
        </w:trPr>
        <w:tc>
          <w:tcPr>
            <w:tcW w:type="dxa" w:w="2520"/>
            <w:tcMar>
              <w:top w:w="90" w:type="dxa"/>
              <w:start w:w="100" w:type="dxa"/>
              <w:bottom w:w="90" w:type="dxa"/>
              <w:end w:w="100" w:type="dxa"/>
            </w:tcMar>
            <w:vAlign w:val="center"/>
          </w:tcPr>
          <w:p>
            <w:pPr>
              <w:spacing w:after="0"/>
            </w:pPr>
            <w:r>
              <w:rPr>
                <w:sz w:val="16"/>
              </w:rPr>
              <w:t>Owned terrestrial stations</w:t>
            </w:r>
          </w:p>
        </w:tc>
        <w:tc>
          <w:tcPr>
            <w:tcW w:type="dxa" w:w="7560"/>
            <w:tcMar>
              <w:top w:w="90" w:type="dxa"/>
              <w:start w:w="100" w:type="dxa"/>
              <w:bottom w:w="90" w:type="dxa"/>
              <w:end w:w="100" w:type="dxa"/>
            </w:tcMar>
            <w:vAlign w:val="center"/>
          </w:tcPr>
          <w:p>
            <w:pPr>
              <w:spacing w:after="0"/>
            </w:pPr>
            <w:r>
              <w:rPr>
                <w:sz w:val="16"/>
              </w:rPr>
              <w:t>High control and local revenue; expensive acquisitions, licenses, towers, studios, and staff.</w:t>
            </w:r>
          </w:p>
        </w:tc>
      </w:tr>
      <w:tr>
        <w:trPr>
          <w:cantSplit/>
        </w:trPr>
        <w:tc>
          <w:tcPr>
            <w:tcW w:type="dxa" w:w="2520"/>
            <w:tcMar>
              <w:top w:w="90" w:type="dxa"/>
              <w:start w:w="100" w:type="dxa"/>
              <w:bottom w:w="90" w:type="dxa"/>
              <w:end w:w="100" w:type="dxa"/>
            </w:tcMar>
            <w:vAlign w:val="center"/>
          </w:tcPr>
          <w:p>
            <w:pPr>
              <w:spacing w:after="0"/>
            </w:pPr>
            <w:r>
              <w:rPr>
                <w:sz w:val="16"/>
              </w:rPr>
              <w:t>Affiliate agreements</w:t>
            </w:r>
          </w:p>
        </w:tc>
        <w:tc>
          <w:tcPr>
            <w:tcW w:type="dxa" w:w="7560"/>
            <w:tcMar>
              <w:top w:w="90" w:type="dxa"/>
              <w:start w:w="100" w:type="dxa"/>
              <w:bottom w:w="90" w:type="dxa"/>
              <w:end w:w="100" w:type="dxa"/>
            </w:tcMar>
            <w:vAlign w:val="center"/>
          </w:tcPr>
          <w:p>
            <w:pPr>
              <w:spacing w:after="0"/>
            </w:pPr>
            <w:r>
              <w:rPr>
                <w:sz w:val="16"/>
              </w:rPr>
              <w:t>Independent stations carry part of the network schedule in exchange for fees, advertising inventory, or revenue sharing.</w:t>
            </w:r>
          </w:p>
        </w:tc>
      </w:tr>
      <w:tr>
        <w:trPr>
          <w:cantSplit/>
        </w:trPr>
        <w:tc>
          <w:tcPr>
            <w:tcW w:type="dxa" w:w="2520"/>
            <w:tcMar>
              <w:top w:w="90" w:type="dxa"/>
              <w:start w:w="100" w:type="dxa"/>
              <w:bottom w:w="90" w:type="dxa"/>
              <w:end w:w="100" w:type="dxa"/>
            </w:tcMar>
            <w:vAlign w:val="center"/>
          </w:tcPr>
          <w:p>
            <w:pPr>
              <w:spacing w:after="0"/>
            </w:pPr>
            <w:r>
              <w:rPr>
                <w:sz w:val="16"/>
              </w:rPr>
              <w:t>Repeaters and transmission assets</w:t>
            </w:r>
          </w:p>
        </w:tc>
        <w:tc>
          <w:tcPr>
            <w:tcW w:type="dxa" w:w="7560"/>
            <w:tcMar>
              <w:top w:w="90" w:type="dxa"/>
              <w:start w:w="100" w:type="dxa"/>
              <w:bottom w:w="90" w:type="dxa"/>
              <w:end w:w="100" w:type="dxa"/>
            </w:tcMar>
            <w:vAlign w:val="center"/>
          </w:tcPr>
          <w:p>
            <w:pPr>
              <w:spacing w:after="0"/>
            </w:pPr>
            <w:r>
              <w:rPr>
                <w:sz w:val="16"/>
              </w:rPr>
              <w:t>Extend signal within a region; require engineering, permits, maintenance, and terrain-sensitive placement.</w:t>
            </w:r>
          </w:p>
        </w:tc>
      </w:tr>
      <w:tr>
        <w:trPr>
          <w:cantSplit/>
        </w:trPr>
        <w:tc>
          <w:tcPr>
            <w:tcW w:type="dxa" w:w="2520"/>
            <w:tcMar>
              <w:top w:w="90" w:type="dxa"/>
              <w:start w:w="100" w:type="dxa"/>
              <w:bottom w:w="90" w:type="dxa"/>
              <w:end w:w="100" w:type="dxa"/>
            </w:tcMar>
            <w:vAlign w:val="center"/>
          </w:tcPr>
          <w:p>
            <w:pPr>
              <w:spacing w:after="0"/>
            </w:pPr>
            <w:r>
              <w:rPr>
                <w:sz w:val="16"/>
              </w:rPr>
              <w:t>Cable carriage</w:t>
            </w:r>
          </w:p>
        </w:tc>
        <w:tc>
          <w:tcPr>
            <w:tcW w:type="dxa" w:w="7560"/>
            <w:tcMar>
              <w:top w:w="90" w:type="dxa"/>
              <w:start w:w="100" w:type="dxa"/>
              <w:bottom w:w="90" w:type="dxa"/>
              <w:end w:w="100" w:type="dxa"/>
            </w:tcMar>
            <w:vAlign w:val="center"/>
          </w:tcPr>
          <w:p>
            <w:pPr>
              <w:spacing w:after="0"/>
            </w:pPr>
            <w:r>
              <w:rPr>
                <w:sz w:val="16"/>
              </w:rPr>
              <w:t>Operator agreements place a channel in regional or national packages; fees depend on demand and bargaining strength.</w:t>
            </w:r>
          </w:p>
        </w:tc>
      </w:tr>
      <w:tr>
        <w:trPr>
          <w:cantSplit/>
        </w:trPr>
        <w:tc>
          <w:tcPr>
            <w:tcW w:type="dxa" w:w="2520"/>
            <w:tcMar>
              <w:top w:w="90" w:type="dxa"/>
              <w:start w:w="100" w:type="dxa"/>
              <w:bottom w:w="90" w:type="dxa"/>
              <w:end w:w="100" w:type="dxa"/>
            </w:tcMar>
            <w:vAlign w:val="center"/>
          </w:tcPr>
          <w:p>
            <w:pPr>
              <w:spacing w:after="0"/>
            </w:pPr>
            <w:r>
              <w:rPr>
                <w:sz w:val="16"/>
              </w:rPr>
              <w:t>Syndication</w:t>
            </w:r>
          </w:p>
        </w:tc>
        <w:tc>
          <w:tcPr>
            <w:tcW w:type="dxa" w:w="7560"/>
            <w:tcMar>
              <w:top w:w="90" w:type="dxa"/>
              <w:start w:w="100" w:type="dxa"/>
              <w:bottom w:w="90" w:type="dxa"/>
              <w:end w:w="100" w:type="dxa"/>
            </w:tcMar>
            <w:vAlign w:val="center"/>
          </w:tcPr>
          <w:p>
            <w:pPr>
              <w:spacing w:after="0"/>
            </w:pPr>
            <w:r>
              <w:rPr>
                <w:sz w:val="16"/>
              </w:rPr>
              <w:t>Sell individual shows or blocks to other stations without controlling their full schedule.</w:t>
            </w:r>
          </w:p>
        </w:tc>
      </w:tr>
      <w:tr>
        <w:trPr>
          <w:cantSplit/>
        </w:trPr>
        <w:tc>
          <w:tcPr>
            <w:tcW w:type="dxa" w:w="2520"/>
            <w:tcMar>
              <w:top w:w="90" w:type="dxa"/>
              <w:start w:w="100" w:type="dxa"/>
              <w:bottom w:w="90" w:type="dxa"/>
              <w:end w:w="100" w:type="dxa"/>
            </w:tcMar>
            <w:vAlign w:val="center"/>
          </w:tcPr>
          <w:p>
            <w:pPr>
              <w:spacing w:after="0"/>
            </w:pPr>
            <w:r>
              <w:rPr>
                <w:sz w:val="16"/>
              </w:rPr>
              <w:t>Streaming distribution</w:t>
            </w:r>
          </w:p>
        </w:tc>
        <w:tc>
          <w:tcPr>
            <w:tcW w:type="dxa" w:w="7560"/>
            <w:tcMar>
              <w:top w:w="90" w:type="dxa"/>
              <w:start w:w="100" w:type="dxa"/>
              <w:bottom w:w="90" w:type="dxa"/>
              <w:end w:w="100" w:type="dxa"/>
            </w:tcMar>
            <w:vAlign w:val="center"/>
          </w:tcPr>
          <w:p>
            <w:pPr>
              <w:spacing w:after="0"/>
            </w:pPr>
            <w:r>
              <w:rPr>
                <w:sz w:val="16"/>
              </w:rPr>
              <w:t>Reach is technically broad but depends on platform quality, content rights, marketing, subscriber economics, and device availability.</w:t>
            </w:r>
          </w:p>
        </w:tc>
      </w:tr>
      <w:tr>
        <w:trPr>
          <w:cantSplit/>
        </w:trPr>
        <w:tc>
          <w:tcPr>
            <w:tcW w:type="dxa" w:w="2520"/>
            <w:tcMar>
              <w:top w:w="90" w:type="dxa"/>
              <w:start w:w="100" w:type="dxa"/>
              <w:bottom w:w="90" w:type="dxa"/>
              <w:end w:w="100" w:type="dxa"/>
            </w:tcMar>
            <w:vAlign w:val="center"/>
          </w:tcPr>
          <w:p>
            <w:pPr>
              <w:spacing w:after="0"/>
            </w:pPr>
            <w:r>
              <w:rPr>
                <w:sz w:val="16"/>
              </w:rPr>
              <w:t>FAST / digital linear channels</w:t>
            </w:r>
          </w:p>
        </w:tc>
        <w:tc>
          <w:tcPr>
            <w:tcW w:type="dxa" w:w="7560"/>
            <w:tcMar>
              <w:top w:w="90" w:type="dxa"/>
              <w:start w:w="100" w:type="dxa"/>
              <w:bottom w:w="90" w:type="dxa"/>
              <w:end w:w="100" w:type="dxa"/>
            </w:tcMar>
            <w:vAlign w:val="center"/>
          </w:tcPr>
          <w:p>
            <w:pPr>
              <w:spacing w:after="0"/>
            </w:pPr>
            <w:r>
              <w:rPr>
                <w:sz w:val="16"/>
              </w:rPr>
              <w:t>Lower-cost thematic distribution with advertising economics and heavy reliance on library depth.</w:t>
            </w:r>
          </w:p>
        </w:tc>
      </w:tr>
    </w:tbl>
    <w:p>
      <w:pPr>
        <w:spacing w:after="0"/>
      </w:pPr>
    </w:p>
    <w:p>
      <w:pPr>
        <w:pStyle w:val="Heading2"/>
      </w:pPr>
      <w:r>
        <w:t>4.2 Geographic market system</w:t>
      </w:r>
    </w:p>
    <w:p>
      <w:r>
        <w:t>The map is divided into broadcast markets grouped into regions. Each market has population, household income, demographics, cultural preferences, advertiser demand, sports affinity, infrastructure cost, competition, and regulatory difficulty. The player initially serves a small set of northern Illinois counties and the nearest designated market area.</w:t>
      </w:r>
    </w:p>
    <w:p>
      <w:pPr>
        <w:pStyle w:val="ListBullet"/>
      </w:pPr>
      <w:r>
        <w:t>Each market tracks household reach, awareness, trust, share by daypart, local advertising demand, and distribution method.</w:t>
      </w:r>
    </w:p>
    <w:p>
      <w:pPr>
        <w:pStyle w:val="ListBullet"/>
      </w:pPr>
      <w:r>
        <w:t>Entering a market requires at least one valid distribution route and content rights that cover that geography.</w:t>
      </w:r>
    </w:p>
    <w:p>
      <w:pPr>
        <w:pStyle w:val="ListBullet"/>
      </w:pPr>
      <w:r>
        <w:t>A weak signal or low-tier cable placement creates theoretical reach without equivalent audience penetration.</w:t>
      </w:r>
    </w:p>
    <w:p>
      <w:pPr>
        <w:pStyle w:val="ListBullet"/>
      </w:pPr>
      <w:r>
        <w:t>Neighboring markets are cheaper to enter because facilities, sales relationships, brand awareness, and regional rights can overlap.</w:t>
      </w:r>
    </w:p>
    <w:p>
      <w:pPr>
        <w:pStyle w:val="ListBullet"/>
      </w:pPr>
      <w:r>
        <w:t>Distant markets favor affiliates, cable, syndication, or streaming until the company develops national operations.</w:t>
      </w:r>
    </w:p>
    <w:p>
      <w:pPr>
        <w:pStyle w:val="Heading2"/>
      </w:pPr>
      <w:r>
        <w:t>4.3 Expansion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1F4E79"/>
            <w:tcMar>
              <w:top w:w="90" w:type="dxa"/>
              <w:start w:w="100" w:type="dxa"/>
              <w:bottom w:w="90" w:type="dxa"/>
              <w:end w:w="100" w:type="dxa"/>
            </w:tcMar>
            <w:vAlign w:val="center"/>
          </w:tcPr>
          <w:p>
            <w:pPr>
              <w:jc w:val="center"/>
            </w:pPr>
            <w:r>
              <w:rPr>
                <w:b/>
                <w:color w:val="FFFFFF"/>
                <w:sz w:val="16"/>
              </w:rPr>
              <w:t>Requirement</w:t>
            </w:r>
          </w:p>
        </w:tc>
        <w:tc>
          <w:tcPr>
            <w:tcW w:type="dxa" w:w="3240"/>
            <w:shd w:fill="1F4E79"/>
            <w:tcMar>
              <w:top w:w="90" w:type="dxa"/>
              <w:start w:w="100" w:type="dxa"/>
              <w:bottom w:w="90" w:type="dxa"/>
              <w:end w:w="100" w:type="dxa"/>
            </w:tcMar>
            <w:vAlign w:val="center"/>
          </w:tcPr>
          <w:p>
            <w:pPr>
              <w:jc w:val="center"/>
            </w:pPr>
            <w:r>
              <w:rPr>
                <w:b/>
                <w:color w:val="FFFFFF"/>
                <w:sz w:val="16"/>
              </w:rPr>
              <w:t>What it represents</w:t>
            </w:r>
          </w:p>
        </w:tc>
        <w:tc>
          <w:tcPr>
            <w:tcW w:type="dxa" w:w="4896"/>
            <w:shd w:fill="1F4E79"/>
            <w:tcMar>
              <w:top w:w="90" w:type="dxa"/>
              <w:start w:w="100" w:type="dxa"/>
              <w:bottom w:w="90" w:type="dxa"/>
              <w:end w:w="100" w:type="dxa"/>
            </w:tcMar>
            <w:vAlign w:val="center"/>
          </w:tcPr>
          <w:p>
            <w:pPr>
              <w:jc w:val="center"/>
            </w:pPr>
            <w:r>
              <w:rPr>
                <w:b/>
                <w:color w:val="FFFFFF"/>
                <w:sz w:val="16"/>
              </w:rPr>
              <w:t>How it is obtained</w:t>
            </w:r>
          </w:p>
        </w:tc>
      </w:tr>
      <w:tr>
        <w:trPr>
          <w:cantSplit/>
        </w:trPr>
        <w:tc>
          <w:tcPr>
            <w:tcW w:type="dxa" w:w="1944"/>
            <w:tcMar>
              <w:top w:w="90" w:type="dxa"/>
              <w:start w:w="100" w:type="dxa"/>
              <w:bottom w:w="90" w:type="dxa"/>
              <w:end w:w="100" w:type="dxa"/>
            </w:tcMar>
            <w:vAlign w:val="center"/>
          </w:tcPr>
          <w:p>
            <w:pPr>
              <w:spacing w:after="0"/>
            </w:pPr>
            <w:r>
              <w:rPr>
                <w:sz w:val="16"/>
              </w:rPr>
              <w:t>Distribution capacity</w:t>
            </w:r>
          </w:p>
        </w:tc>
        <w:tc>
          <w:tcPr>
            <w:tcW w:type="dxa" w:w="3240"/>
            <w:tcMar>
              <w:top w:w="90" w:type="dxa"/>
              <w:start w:w="100" w:type="dxa"/>
              <w:bottom w:w="90" w:type="dxa"/>
              <w:end w:w="100" w:type="dxa"/>
            </w:tcMar>
            <w:vAlign w:val="center"/>
          </w:tcPr>
          <w:p>
            <w:pPr>
              <w:spacing w:after="0"/>
            </w:pPr>
            <w:r>
              <w:rPr>
                <w:sz w:val="16"/>
              </w:rPr>
              <w:t>Ability to physically or contractually reach households</w:t>
            </w:r>
          </w:p>
        </w:tc>
        <w:tc>
          <w:tcPr>
            <w:tcW w:type="dxa" w:w="4896"/>
            <w:tcMar>
              <w:top w:w="90" w:type="dxa"/>
              <w:start w:w="100" w:type="dxa"/>
              <w:bottom w:w="90" w:type="dxa"/>
              <w:end w:w="100" w:type="dxa"/>
            </w:tcMar>
            <w:vAlign w:val="center"/>
          </w:tcPr>
          <w:p>
            <w:pPr>
              <w:spacing w:after="0"/>
            </w:pPr>
            <w:r>
              <w:rPr>
                <w:sz w:val="16"/>
              </w:rPr>
              <w:t>Build/buy infrastructure; affiliate or carriage deals; platform development</w:t>
            </w:r>
          </w:p>
        </w:tc>
      </w:tr>
      <w:tr>
        <w:trPr>
          <w:cantSplit/>
        </w:trPr>
        <w:tc>
          <w:tcPr>
            <w:tcW w:type="dxa" w:w="1944"/>
            <w:tcMar>
              <w:top w:w="90" w:type="dxa"/>
              <w:start w:w="100" w:type="dxa"/>
              <w:bottom w:w="90" w:type="dxa"/>
              <w:end w:w="100" w:type="dxa"/>
            </w:tcMar>
            <w:vAlign w:val="center"/>
          </w:tcPr>
          <w:p>
            <w:pPr>
              <w:spacing w:after="0"/>
            </w:pPr>
            <w:r>
              <w:rPr>
                <w:sz w:val="16"/>
              </w:rPr>
              <w:t>Content clearance</w:t>
            </w:r>
          </w:p>
        </w:tc>
        <w:tc>
          <w:tcPr>
            <w:tcW w:type="dxa" w:w="3240"/>
            <w:tcMar>
              <w:top w:w="90" w:type="dxa"/>
              <w:start w:w="100" w:type="dxa"/>
              <w:bottom w:w="90" w:type="dxa"/>
              <w:end w:w="100" w:type="dxa"/>
            </w:tcMar>
            <w:vAlign w:val="center"/>
          </w:tcPr>
          <w:p>
            <w:pPr>
              <w:spacing w:after="0"/>
            </w:pPr>
            <w:r>
              <w:rPr>
                <w:sz w:val="16"/>
              </w:rPr>
              <w:t>Legal authority to show each program in the target territory</w:t>
            </w:r>
          </w:p>
        </w:tc>
        <w:tc>
          <w:tcPr>
            <w:tcW w:type="dxa" w:w="4896"/>
            <w:tcMar>
              <w:top w:w="90" w:type="dxa"/>
              <w:start w:w="100" w:type="dxa"/>
              <w:bottom w:w="90" w:type="dxa"/>
              <w:end w:w="100" w:type="dxa"/>
            </w:tcMar>
            <w:vAlign w:val="center"/>
          </w:tcPr>
          <w:p>
            <w:pPr>
              <w:spacing w:after="0"/>
            </w:pPr>
            <w:r>
              <w:rPr>
                <w:sz w:val="16"/>
              </w:rPr>
              <w:t>Own content; negotiate territorial rights; acquire national packages</w:t>
            </w:r>
          </w:p>
        </w:tc>
      </w:tr>
      <w:tr>
        <w:trPr>
          <w:cantSplit/>
        </w:trPr>
        <w:tc>
          <w:tcPr>
            <w:tcW w:type="dxa" w:w="1944"/>
            <w:tcMar>
              <w:top w:w="90" w:type="dxa"/>
              <w:start w:w="100" w:type="dxa"/>
              <w:bottom w:w="90" w:type="dxa"/>
              <w:end w:w="100" w:type="dxa"/>
            </w:tcMar>
            <w:vAlign w:val="center"/>
          </w:tcPr>
          <w:p>
            <w:pPr>
              <w:spacing w:after="0"/>
            </w:pPr>
            <w:r>
              <w:rPr>
                <w:sz w:val="16"/>
              </w:rPr>
              <w:t>Institutional capability</w:t>
            </w:r>
          </w:p>
        </w:tc>
        <w:tc>
          <w:tcPr>
            <w:tcW w:type="dxa" w:w="3240"/>
            <w:tcMar>
              <w:top w:w="90" w:type="dxa"/>
              <w:start w:w="100" w:type="dxa"/>
              <w:bottom w:w="90" w:type="dxa"/>
              <w:end w:w="100" w:type="dxa"/>
            </w:tcMar>
            <w:vAlign w:val="center"/>
          </w:tcPr>
          <w:p>
            <w:pPr>
              <w:spacing w:after="0"/>
            </w:pPr>
            <w:r>
              <w:rPr>
                <w:sz w:val="16"/>
              </w:rPr>
              <w:t>Ability to operate sales, news, scheduling, compliance, and support at scale</w:t>
            </w:r>
          </w:p>
        </w:tc>
        <w:tc>
          <w:tcPr>
            <w:tcW w:type="dxa" w:w="4896"/>
            <w:tcMar>
              <w:top w:w="90" w:type="dxa"/>
              <w:start w:w="100" w:type="dxa"/>
              <w:bottom w:w="90" w:type="dxa"/>
              <w:end w:w="100" w:type="dxa"/>
            </w:tcMar>
            <w:vAlign w:val="center"/>
          </w:tcPr>
          <w:p>
            <w:pPr>
              <w:spacing w:after="0"/>
            </w:pPr>
            <w:r>
              <w:rPr>
                <w:sz w:val="16"/>
              </w:rPr>
              <w:t>Hire people; research systems; build regional offices and facilities</w:t>
            </w:r>
          </w:p>
        </w:tc>
      </w:tr>
      <w:tr>
        <w:trPr>
          <w:cantSplit/>
        </w:trPr>
        <w:tc>
          <w:tcPr>
            <w:tcW w:type="dxa" w:w="1944"/>
            <w:tcMar>
              <w:top w:w="90" w:type="dxa"/>
              <w:start w:w="100" w:type="dxa"/>
              <w:bottom w:w="90" w:type="dxa"/>
              <w:end w:w="100" w:type="dxa"/>
            </w:tcMar>
            <w:vAlign w:val="center"/>
          </w:tcPr>
          <w:p>
            <w:pPr>
              <w:spacing w:after="0"/>
            </w:pPr>
            <w:r>
              <w:rPr>
                <w:sz w:val="16"/>
              </w:rPr>
              <w:t>Brand demand</w:t>
            </w:r>
          </w:p>
        </w:tc>
        <w:tc>
          <w:tcPr>
            <w:tcW w:type="dxa" w:w="3240"/>
            <w:tcMar>
              <w:top w:w="90" w:type="dxa"/>
              <w:start w:w="100" w:type="dxa"/>
              <w:bottom w:w="90" w:type="dxa"/>
              <w:end w:w="100" w:type="dxa"/>
            </w:tcMar>
            <w:vAlign w:val="center"/>
          </w:tcPr>
          <w:p>
            <w:pPr>
              <w:spacing w:after="0"/>
            </w:pPr>
            <w:r>
              <w:rPr>
                <w:sz w:val="16"/>
              </w:rPr>
              <w:t>Whether viewers and distributors care enough to carry or seek the network</w:t>
            </w:r>
          </w:p>
        </w:tc>
        <w:tc>
          <w:tcPr>
            <w:tcW w:type="dxa" w:w="4896"/>
            <w:tcMar>
              <w:top w:w="90" w:type="dxa"/>
              <w:start w:w="100" w:type="dxa"/>
              <w:bottom w:w="90" w:type="dxa"/>
              <w:end w:w="100" w:type="dxa"/>
            </w:tcMar>
            <w:vAlign w:val="center"/>
          </w:tcPr>
          <w:p>
            <w:pPr>
              <w:spacing w:after="0"/>
            </w:pPr>
            <w:r>
              <w:rPr>
                <w:sz w:val="16"/>
              </w:rPr>
              <w:t>Successful programs, marketing, trust, sports, personalities, awards</w:t>
            </w:r>
          </w:p>
        </w:tc>
      </w:tr>
      <w:tr>
        <w:trPr>
          <w:cantSplit/>
        </w:trPr>
        <w:tc>
          <w:tcPr>
            <w:tcW w:type="dxa" w:w="1944"/>
            <w:tcMar>
              <w:top w:w="90" w:type="dxa"/>
              <w:start w:w="100" w:type="dxa"/>
              <w:bottom w:w="90" w:type="dxa"/>
              <w:end w:w="100" w:type="dxa"/>
            </w:tcMar>
            <w:vAlign w:val="center"/>
          </w:tcPr>
          <w:p>
            <w:pPr>
              <w:spacing w:after="0"/>
            </w:pPr>
            <w:r>
              <w:rPr>
                <w:sz w:val="16"/>
              </w:rPr>
              <w:t>Financial capacity</w:t>
            </w:r>
          </w:p>
        </w:tc>
        <w:tc>
          <w:tcPr>
            <w:tcW w:type="dxa" w:w="3240"/>
            <w:tcMar>
              <w:top w:w="90" w:type="dxa"/>
              <w:start w:w="100" w:type="dxa"/>
              <w:bottom w:w="90" w:type="dxa"/>
              <w:end w:w="100" w:type="dxa"/>
            </w:tcMar>
            <w:vAlign w:val="center"/>
          </w:tcPr>
          <w:p>
            <w:pPr>
              <w:spacing w:after="0"/>
            </w:pPr>
            <w:r>
              <w:rPr>
                <w:sz w:val="16"/>
              </w:rPr>
              <w:t>Ability to fund commitments and survive delayed returns</w:t>
            </w:r>
          </w:p>
        </w:tc>
        <w:tc>
          <w:tcPr>
            <w:tcW w:type="dxa" w:w="4896"/>
            <w:tcMar>
              <w:top w:w="90" w:type="dxa"/>
              <w:start w:w="100" w:type="dxa"/>
              <w:bottom w:w="90" w:type="dxa"/>
              <w:end w:w="100" w:type="dxa"/>
            </w:tcMar>
            <w:vAlign w:val="center"/>
          </w:tcPr>
          <w:p>
            <w:pPr>
              <w:spacing w:after="0"/>
            </w:pPr>
            <w:r>
              <w:rPr>
                <w:sz w:val="16"/>
              </w:rPr>
              <w:t>Cash, credit, investors, retained earnings, partnerships</w:t>
            </w:r>
          </w:p>
        </w:tc>
      </w:tr>
      <w:tr>
        <w:trPr>
          <w:cantSplit/>
        </w:trPr>
        <w:tc>
          <w:tcPr>
            <w:tcW w:type="dxa" w:w="1944"/>
            <w:tcMar>
              <w:top w:w="90" w:type="dxa"/>
              <w:start w:w="100" w:type="dxa"/>
              <w:bottom w:w="90" w:type="dxa"/>
              <w:end w:w="100" w:type="dxa"/>
            </w:tcMar>
            <w:vAlign w:val="center"/>
          </w:tcPr>
          <w:p>
            <w:pPr>
              <w:spacing w:after="0"/>
            </w:pPr>
            <w:r>
              <w:rPr>
                <w:sz w:val="16"/>
              </w:rPr>
              <w:t>Regulatory permission</w:t>
            </w:r>
          </w:p>
        </w:tc>
        <w:tc>
          <w:tcPr>
            <w:tcW w:type="dxa" w:w="3240"/>
            <w:tcMar>
              <w:top w:w="90" w:type="dxa"/>
              <w:start w:w="100" w:type="dxa"/>
              <w:bottom w:w="90" w:type="dxa"/>
              <w:end w:w="100" w:type="dxa"/>
            </w:tcMar>
            <w:vAlign w:val="center"/>
          </w:tcPr>
          <w:p>
            <w:pPr>
              <w:spacing w:after="0"/>
            </w:pPr>
            <w:r>
              <w:rPr>
                <w:sz w:val="16"/>
              </w:rPr>
              <w:t>Licenses, ownership limits, standards, public obligations</w:t>
            </w:r>
          </w:p>
        </w:tc>
        <w:tc>
          <w:tcPr>
            <w:tcW w:type="dxa" w:w="4896"/>
            <w:tcMar>
              <w:top w:w="90" w:type="dxa"/>
              <w:start w:w="100" w:type="dxa"/>
              <w:bottom w:w="90" w:type="dxa"/>
              <w:end w:w="100" w:type="dxa"/>
            </w:tcMar>
            <w:vAlign w:val="center"/>
          </w:tcPr>
          <w:p>
            <w:pPr>
              <w:spacing w:after="0"/>
            </w:pPr>
            <w:r>
              <w:rPr>
                <w:sz w:val="16"/>
              </w:rPr>
              <w:t>Applications, compliance record, lobbying, acquisitions</w:t>
            </w:r>
          </w:p>
        </w:tc>
      </w:tr>
    </w:tbl>
    <w:p>
      <w:pPr>
        <w:spacing w:after="0"/>
      </w:pPr>
    </w:p>
    <w:p>
      <w:pPr>
        <w:pStyle w:val="Heading2"/>
      </w:pPr>
      <w:r>
        <w:t>4.4 Example growth routes from northern Illinois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944"/>
            <w:shd w:fill="1F4E79"/>
            <w:tcMar>
              <w:top w:w="90" w:type="dxa"/>
              <w:start w:w="100" w:type="dxa"/>
              <w:bottom w:w="90" w:type="dxa"/>
              <w:end w:w="100" w:type="dxa"/>
            </w:tcMar>
            <w:vAlign w:val="center"/>
          </w:tcPr>
          <w:p>
            <w:pPr>
              <w:jc w:val="center"/>
            </w:pPr>
            <w:r>
              <w:rPr>
                <w:b/>
                <w:color w:val="FFFFFF"/>
                <w:sz w:val="15"/>
              </w:rPr>
              <w:t>Route</w:t>
            </w:r>
          </w:p>
        </w:tc>
        <w:tc>
          <w:tcPr>
            <w:tcW w:type="dxa" w:w="3024"/>
            <w:shd w:fill="1F4E79"/>
            <w:tcMar>
              <w:top w:w="90" w:type="dxa"/>
              <w:start w:w="100" w:type="dxa"/>
              <w:bottom w:w="90" w:type="dxa"/>
              <w:end w:w="100" w:type="dxa"/>
            </w:tcMar>
            <w:vAlign w:val="center"/>
          </w:tcPr>
          <w:p>
            <w:pPr>
              <w:jc w:val="center"/>
            </w:pPr>
            <w:r>
              <w:rPr>
                <w:b/>
                <w:color w:val="FFFFFF"/>
                <w:sz w:val="15"/>
              </w:rPr>
              <w:t>First moves</w:t>
            </w:r>
          </w:p>
        </w:tc>
        <w:tc>
          <w:tcPr>
            <w:tcW w:type="dxa" w:w="3456"/>
            <w:shd w:fill="1F4E79"/>
            <w:tcMar>
              <w:top w:w="90" w:type="dxa"/>
              <w:start w:w="100" w:type="dxa"/>
              <w:bottom w:w="90" w:type="dxa"/>
              <w:end w:w="100" w:type="dxa"/>
            </w:tcMar>
            <w:vAlign w:val="center"/>
          </w:tcPr>
          <w:p>
            <w:pPr>
              <w:jc w:val="center"/>
            </w:pPr>
            <w:r>
              <w:rPr>
                <w:b/>
                <w:color w:val="FFFFFF"/>
                <w:sz w:val="15"/>
              </w:rPr>
              <w:t>Midgame identity</w:t>
            </w:r>
          </w:p>
        </w:tc>
        <w:tc>
          <w:tcPr>
            <w:tcW w:type="dxa" w:w="2448"/>
            <w:shd w:fill="1F4E79"/>
            <w:tcMar>
              <w:top w:w="90" w:type="dxa"/>
              <w:start w:w="100" w:type="dxa"/>
              <w:bottom w:w="90" w:type="dxa"/>
              <w:end w:w="100" w:type="dxa"/>
            </w:tcMar>
            <w:vAlign w:val="center"/>
          </w:tcPr>
          <w:p>
            <w:pPr>
              <w:jc w:val="center"/>
            </w:pPr>
            <w:r>
              <w:rPr>
                <w:b/>
                <w:color w:val="FFFFFF"/>
                <w:sz w:val="15"/>
              </w:rPr>
              <w:t>Endgame</w:t>
            </w:r>
          </w:p>
        </w:tc>
      </w:tr>
      <w:tr>
        <w:trPr>
          <w:cantSplit/>
        </w:trPr>
        <w:tc>
          <w:tcPr>
            <w:tcW w:type="dxa" w:w="1944"/>
            <w:tcMar>
              <w:top w:w="90" w:type="dxa"/>
              <w:start w:w="100" w:type="dxa"/>
              <w:bottom w:w="90" w:type="dxa"/>
              <w:end w:w="100" w:type="dxa"/>
            </w:tcMar>
            <w:vAlign w:val="center"/>
          </w:tcPr>
          <w:p>
            <w:pPr>
              <w:spacing w:after="0"/>
            </w:pPr>
            <w:r>
              <w:rPr>
                <w:sz w:val="15"/>
              </w:rPr>
              <w:t>Midwest broadcast</w:t>
            </w:r>
          </w:p>
        </w:tc>
        <w:tc>
          <w:tcPr>
            <w:tcW w:type="dxa" w:w="3024"/>
            <w:tcMar>
              <w:top w:w="90" w:type="dxa"/>
              <w:start w:w="100" w:type="dxa"/>
              <w:bottom w:w="90" w:type="dxa"/>
              <w:end w:w="100" w:type="dxa"/>
            </w:tcMar>
            <w:vAlign w:val="center"/>
          </w:tcPr>
          <w:p>
            <w:pPr>
              <w:spacing w:after="0"/>
            </w:pPr>
            <w:r>
              <w:rPr>
                <w:sz w:val="15"/>
              </w:rPr>
              <w:t>Improve local news; buy minor regional sports; add repeaters; affiliate in Wisconsin and Indiana</w:t>
            </w:r>
          </w:p>
        </w:tc>
        <w:tc>
          <w:tcPr>
            <w:tcW w:type="dxa" w:w="3456"/>
            <w:tcMar>
              <w:top w:w="90" w:type="dxa"/>
              <w:start w:w="100" w:type="dxa"/>
              <w:bottom w:w="90" w:type="dxa"/>
              <w:end w:w="100" w:type="dxa"/>
            </w:tcMar>
            <w:vAlign w:val="center"/>
          </w:tcPr>
          <w:p>
            <w:pPr>
              <w:spacing w:after="0"/>
            </w:pPr>
            <w:r>
              <w:rPr>
                <w:sz w:val="15"/>
              </w:rPr>
              <w:t>Regional entertainment and news network with shared prime time</w:t>
            </w:r>
          </w:p>
        </w:tc>
        <w:tc>
          <w:tcPr>
            <w:tcW w:type="dxa" w:w="2448"/>
            <w:tcMar>
              <w:top w:w="90" w:type="dxa"/>
              <w:start w:w="100" w:type="dxa"/>
              <w:bottom w:w="90" w:type="dxa"/>
              <w:end w:w="100" w:type="dxa"/>
            </w:tcMar>
            <w:vAlign w:val="center"/>
          </w:tcPr>
          <w:p>
            <w:pPr>
              <w:spacing w:after="0"/>
            </w:pPr>
            <w:r>
              <w:rPr>
                <w:sz w:val="15"/>
              </w:rPr>
              <w:t>Dominant multi-state superstation or national affiliate network</w:t>
            </w:r>
          </w:p>
        </w:tc>
      </w:tr>
      <w:tr>
        <w:trPr>
          <w:cantSplit/>
        </w:trPr>
        <w:tc>
          <w:tcPr>
            <w:tcW w:type="dxa" w:w="1944"/>
            <w:tcMar>
              <w:top w:w="90" w:type="dxa"/>
              <w:start w:w="100" w:type="dxa"/>
              <w:bottom w:w="90" w:type="dxa"/>
              <w:end w:w="100" w:type="dxa"/>
            </w:tcMar>
            <w:vAlign w:val="center"/>
          </w:tcPr>
          <w:p>
            <w:pPr>
              <w:spacing w:after="0"/>
            </w:pPr>
            <w:r>
              <w:rPr>
                <w:sz w:val="15"/>
              </w:rPr>
              <w:t>Cable news</w:t>
            </w:r>
          </w:p>
        </w:tc>
        <w:tc>
          <w:tcPr>
            <w:tcW w:type="dxa" w:w="3024"/>
            <w:tcMar>
              <w:top w:w="90" w:type="dxa"/>
              <w:start w:w="100" w:type="dxa"/>
              <w:bottom w:w="90" w:type="dxa"/>
              <w:end w:w="100" w:type="dxa"/>
            </w:tcMar>
            <w:vAlign w:val="center"/>
          </w:tcPr>
          <w:p>
            <w:pPr>
              <w:spacing w:after="0"/>
            </w:pPr>
            <w:r>
              <w:rPr>
                <w:sz w:val="15"/>
              </w:rPr>
              <w:t>Build newsroom; develop anchors; launch daytime and evening news blocks; secure cable carriage</w:t>
            </w:r>
          </w:p>
        </w:tc>
        <w:tc>
          <w:tcPr>
            <w:tcW w:type="dxa" w:w="3456"/>
            <w:tcMar>
              <w:top w:w="90" w:type="dxa"/>
              <w:start w:w="100" w:type="dxa"/>
              <w:bottom w:w="90" w:type="dxa"/>
              <w:end w:w="100" w:type="dxa"/>
            </w:tcMar>
            <w:vAlign w:val="center"/>
          </w:tcPr>
          <w:p>
            <w:pPr>
              <w:spacing w:after="0"/>
            </w:pPr>
            <w:r>
              <w:rPr>
                <w:sz w:val="15"/>
              </w:rPr>
              <w:t>Regional 24-hour news channel with political and business credibility</w:t>
            </w:r>
          </w:p>
        </w:tc>
        <w:tc>
          <w:tcPr>
            <w:tcW w:type="dxa" w:w="2448"/>
            <w:tcMar>
              <w:top w:w="90" w:type="dxa"/>
              <w:start w:w="100" w:type="dxa"/>
              <w:bottom w:w="90" w:type="dxa"/>
              <w:end w:w="100" w:type="dxa"/>
            </w:tcMar>
            <w:vAlign w:val="center"/>
          </w:tcPr>
          <w:p>
            <w:pPr>
              <w:spacing w:after="0"/>
            </w:pPr>
            <w:r>
              <w:rPr>
                <w:sz w:val="15"/>
              </w:rPr>
              <w:t>National cable news competitor</w:t>
            </w:r>
          </w:p>
        </w:tc>
      </w:tr>
      <w:tr>
        <w:trPr>
          <w:cantSplit/>
        </w:trPr>
        <w:tc>
          <w:tcPr>
            <w:tcW w:type="dxa" w:w="1944"/>
            <w:tcMar>
              <w:top w:w="90" w:type="dxa"/>
              <w:start w:w="100" w:type="dxa"/>
              <w:bottom w:w="90" w:type="dxa"/>
              <w:end w:w="100" w:type="dxa"/>
            </w:tcMar>
            <w:vAlign w:val="center"/>
          </w:tcPr>
          <w:p>
            <w:pPr>
              <w:spacing w:after="0"/>
            </w:pPr>
            <w:r>
              <w:rPr>
                <w:sz w:val="15"/>
              </w:rPr>
              <w:t>Entertainment network</w:t>
            </w:r>
          </w:p>
        </w:tc>
        <w:tc>
          <w:tcPr>
            <w:tcW w:type="dxa" w:w="3024"/>
            <w:tcMar>
              <w:top w:w="90" w:type="dxa"/>
              <w:start w:w="100" w:type="dxa"/>
              <w:bottom w:w="90" w:type="dxa"/>
              <w:end w:w="100" w:type="dxa"/>
            </w:tcMar>
            <w:vAlign w:val="center"/>
          </w:tcPr>
          <w:p>
            <w:pPr>
              <w:spacing w:after="0"/>
            </w:pPr>
            <w:r>
              <w:rPr>
                <w:sz w:val="15"/>
              </w:rPr>
              <w:t>Create affordable reality and contests; syndicate winners; recruit affiliates</w:t>
            </w:r>
          </w:p>
        </w:tc>
        <w:tc>
          <w:tcPr>
            <w:tcW w:type="dxa" w:w="3456"/>
            <w:tcMar>
              <w:top w:w="90" w:type="dxa"/>
              <w:start w:w="100" w:type="dxa"/>
              <w:bottom w:w="90" w:type="dxa"/>
              <w:end w:w="100" w:type="dxa"/>
            </w:tcMar>
            <w:vAlign w:val="center"/>
          </w:tcPr>
          <w:p>
            <w:pPr>
              <w:spacing w:after="0"/>
            </w:pPr>
            <w:r>
              <w:rPr>
                <w:sz w:val="15"/>
              </w:rPr>
              <w:t>Broad regional general-entertainment network</w:t>
            </w:r>
          </w:p>
        </w:tc>
        <w:tc>
          <w:tcPr>
            <w:tcW w:type="dxa" w:w="2448"/>
            <w:tcMar>
              <w:top w:w="90" w:type="dxa"/>
              <w:start w:w="100" w:type="dxa"/>
              <w:bottom w:w="90" w:type="dxa"/>
              <w:end w:w="100" w:type="dxa"/>
            </w:tcMar>
            <w:vAlign w:val="center"/>
          </w:tcPr>
          <w:p>
            <w:pPr>
              <w:spacing w:after="0"/>
            </w:pPr>
            <w:r>
              <w:rPr>
                <w:sz w:val="15"/>
              </w:rPr>
              <w:t>National broadcaster with full schedule and tentpoles</w:t>
            </w:r>
          </w:p>
        </w:tc>
      </w:tr>
      <w:tr>
        <w:trPr>
          <w:cantSplit/>
        </w:trPr>
        <w:tc>
          <w:tcPr>
            <w:tcW w:type="dxa" w:w="1944"/>
            <w:tcMar>
              <w:top w:w="90" w:type="dxa"/>
              <w:start w:w="100" w:type="dxa"/>
              <w:bottom w:w="90" w:type="dxa"/>
              <w:end w:w="100" w:type="dxa"/>
            </w:tcMar>
            <w:vAlign w:val="center"/>
          </w:tcPr>
          <w:p>
            <w:pPr>
              <w:spacing w:after="0"/>
            </w:pPr>
            <w:r>
              <w:rPr>
                <w:sz w:val="15"/>
              </w:rPr>
              <w:t>Sports channel</w:t>
            </w:r>
          </w:p>
        </w:tc>
        <w:tc>
          <w:tcPr>
            <w:tcW w:type="dxa" w:w="3024"/>
            <w:tcMar>
              <w:top w:w="90" w:type="dxa"/>
              <w:start w:w="100" w:type="dxa"/>
              <w:bottom w:w="90" w:type="dxa"/>
              <w:end w:w="100" w:type="dxa"/>
            </w:tcMar>
            <w:vAlign w:val="center"/>
          </w:tcPr>
          <w:p>
            <w:pPr>
              <w:spacing w:after="0"/>
            </w:pPr>
            <w:r>
              <w:rPr>
                <w:sz w:val="15"/>
              </w:rPr>
              <w:t>Acquire local team, college, and secondary league rights; build production capability</w:t>
            </w:r>
          </w:p>
        </w:tc>
        <w:tc>
          <w:tcPr>
            <w:tcW w:type="dxa" w:w="3456"/>
            <w:tcMar>
              <w:top w:w="90" w:type="dxa"/>
              <w:start w:w="100" w:type="dxa"/>
              <w:bottom w:w="90" w:type="dxa"/>
              <w:end w:w="100" w:type="dxa"/>
            </w:tcMar>
            <w:vAlign w:val="center"/>
          </w:tcPr>
          <w:p>
            <w:pPr>
              <w:spacing w:after="0"/>
            </w:pPr>
            <w:r>
              <w:rPr>
                <w:sz w:val="15"/>
              </w:rPr>
              <w:t>Regional sports network and studio-show leader</w:t>
            </w:r>
          </w:p>
        </w:tc>
        <w:tc>
          <w:tcPr>
            <w:tcW w:type="dxa" w:w="2448"/>
            <w:tcMar>
              <w:top w:w="90" w:type="dxa"/>
              <w:start w:w="100" w:type="dxa"/>
              <w:bottom w:w="90" w:type="dxa"/>
              <w:end w:w="100" w:type="dxa"/>
            </w:tcMar>
            <w:vAlign w:val="center"/>
          </w:tcPr>
          <w:p>
            <w:pPr>
              <w:spacing w:after="0"/>
            </w:pPr>
            <w:r>
              <w:rPr>
                <w:sz w:val="15"/>
              </w:rPr>
              <w:t>National sports network or multi-region rights portfolio</w:t>
            </w:r>
          </w:p>
        </w:tc>
      </w:tr>
      <w:tr>
        <w:trPr>
          <w:cantSplit/>
        </w:trPr>
        <w:tc>
          <w:tcPr>
            <w:tcW w:type="dxa" w:w="1944"/>
            <w:tcMar>
              <w:top w:w="90" w:type="dxa"/>
              <w:start w:w="100" w:type="dxa"/>
              <w:bottom w:w="90" w:type="dxa"/>
              <w:end w:w="100" w:type="dxa"/>
            </w:tcMar>
            <w:vAlign w:val="center"/>
          </w:tcPr>
          <w:p>
            <w:pPr>
              <w:spacing w:after="0"/>
            </w:pPr>
            <w:r>
              <w:rPr>
                <w:sz w:val="15"/>
              </w:rPr>
              <w:t>Streaming studio</w:t>
            </w:r>
          </w:p>
        </w:tc>
        <w:tc>
          <w:tcPr>
            <w:tcW w:type="dxa" w:w="3024"/>
            <w:tcMar>
              <w:top w:w="90" w:type="dxa"/>
              <w:start w:w="100" w:type="dxa"/>
              <w:bottom w:w="90" w:type="dxa"/>
              <w:end w:w="100" w:type="dxa"/>
            </w:tcMar>
            <w:vAlign w:val="center"/>
          </w:tcPr>
          <w:p>
            <w:pPr>
              <w:spacing w:after="0"/>
            </w:pPr>
            <w:r>
              <w:rPr>
                <w:sz w:val="15"/>
              </w:rPr>
              <w:t>Create niche originals; buy library packages; launch subscription product</w:t>
            </w:r>
          </w:p>
        </w:tc>
        <w:tc>
          <w:tcPr>
            <w:tcW w:type="dxa" w:w="3456"/>
            <w:tcMar>
              <w:top w:w="90" w:type="dxa"/>
              <w:start w:w="100" w:type="dxa"/>
              <w:bottom w:w="90" w:type="dxa"/>
              <w:end w:w="100" w:type="dxa"/>
            </w:tcMar>
            <w:vAlign w:val="center"/>
          </w:tcPr>
          <w:p>
            <w:pPr>
              <w:spacing w:after="0"/>
            </w:pPr>
            <w:r>
              <w:rPr>
                <w:sz w:val="15"/>
              </w:rPr>
              <w:t>National digital brand with limited linear presence</w:t>
            </w:r>
          </w:p>
        </w:tc>
        <w:tc>
          <w:tcPr>
            <w:tcW w:type="dxa" w:w="2448"/>
            <w:tcMar>
              <w:top w:w="90" w:type="dxa"/>
              <w:start w:w="100" w:type="dxa"/>
              <w:bottom w:w="90" w:type="dxa"/>
              <w:end w:w="100" w:type="dxa"/>
            </w:tcMar>
            <w:vAlign w:val="center"/>
          </w:tcPr>
          <w:p>
            <w:pPr>
              <w:spacing w:after="0"/>
            </w:pPr>
            <w:r>
              <w:rPr>
                <w:sz w:val="15"/>
              </w:rPr>
              <w:t>Major streamer or hybrid studio-network</w:t>
            </w:r>
          </w:p>
        </w:tc>
      </w:tr>
    </w:tbl>
    <w:p>
      <w:pPr>
        <w:spacing w:after="0"/>
      </w:pPr>
    </w:p>
    <w:p>
      <w:pPr>
        <w:pStyle w:val="Heading1"/>
      </w:pPr>
      <w:r>
        <w:t>5. Competitors and Market Simulation</w:t>
      </w:r>
    </w:p>
    <w:p>
      <w:r>
        <w:t>Competitors must be visible, legible, and strategically distinct. The player should know who is winning, why they are winning, what they are trying to become, and where they are vulnerable.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1F4E79"/>
            <w:tcMar>
              <w:top w:w="90" w:type="dxa"/>
              <w:start w:w="100" w:type="dxa"/>
              <w:bottom w:w="90" w:type="dxa"/>
              <w:end w:w="100" w:type="dxa"/>
            </w:tcMar>
            <w:vAlign w:val="center"/>
          </w:tcPr>
          <w:p>
            <w:pPr>
              <w:jc w:val="center"/>
            </w:pPr>
            <w:r>
              <w:rPr>
                <w:b/>
                <w:color w:val="FFFFFF"/>
                <w:sz w:val="16"/>
              </w:rPr>
              <w:t>Competitor attribute</w:t>
            </w:r>
          </w:p>
        </w:tc>
        <w:tc>
          <w:tcPr>
            <w:tcW w:type="dxa" w:w="7776"/>
            <w:shd w:fill="1F4E79"/>
            <w:tcMar>
              <w:top w:w="90" w:type="dxa"/>
              <w:start w:w="100" w:type="dxa"/>
              <w:bottom w:w="90" w:type="dxa"/>
              <w:end w:w="100" w:type="dxa"/>
            </w:tcMar>
            <w:vAlign w:val="center"/>
          </w:tcPr>
          <w:p>
            <w:pPr>
              <w:jc w:val="center"/>
            </w:pPr>
            <w:r>
              <w:rPr>
                <w:b/>
                <w:color w:val="FFFFFF"/>
                <w:sz w:val="16"/>
              </w:rPr>
              <w:t>Simulation effect</w:t>
            </w:r>
          </w:p>
        </w:tc>
      </w:tr>
      <w:tr>
        <w:trPr>
          <w:cantSplit/>
        </w:trPr>
        <w:tc>
          <w:tcPr>
            <w:tcW w:type="dxa" w:w="2304"/>
            <w:tcMar>
              <w:top w:w="90" w:type="dxa"/>
              <w:start w:w="100" w:type="dxa"/>
              <w:bottom w:w="90" w:type="dxa"/>
              <w:end w:w="100" w:type="dxa"/>
            </w:tcMar>
            <w:vAlign w:val="center"/>
          </w:tcPr>
          <w:p>
            <w:pPr>
              <w:spacing w:after="0"/>
            </w:pPr>
            <w:r>
              <w:rPr>
                <w:sz w:val="16"/>
              </w:rPr>
              <w:t>Corporate archetype</w:t>
            </w:r>
          </w:p>
        </w:tc>
        <w:tc>
          <w:tcPr>
            <w:tcW w:type="dxa" w:w="7776"/>
            <w:tcMar>
              <w:top w:w="90" w:type="dxa"/>
              <w:start w:w="100" w:type="dxa"/>
              <w:bottom w:w="90" w:type="dxa"/>
              <w:end w:w="100" w:type="dxa"/>
            </w:tcMar>
            <w:vAlign w:val="center"/>
          </w:tcPr>
          <w:p>
            <w:pPr>
              <w:spacing w:after="0"/>
            </w:pPr>
            <w:r>
              <w:rPr>
                <w:sz w:val="16"/>
              </w:rPr>
              <w:t>Aggressive acquirer, prestige studio, mass broadcaster, cost cutter, sports specialist, local institution, technology disruptor.</w:t>
            </w:r>
          </w:p>
        </w:tc>
      </w:tr>
      <w:tr>
        <w:trPr>
          <w:cantSplit/>
        </w:trPr>
        <w:tc>
          <w:tcPr>
            <w:tcW w:type="dxa" w:w="2304"/>
            <w:tcMar>
              <w:top w:w="90" w:type="dxa"/>
              <w:start w:w="100" w:type="dxa"/>
              <w:bottom w:w="90" w:type="dxa"/>
              <w:end w:w="100" w:type="dxa"/>
            </w:tcMar>
            <w:vAlign w:val="center"/>
          </w:tcPr>
          <w:p>
            <w:pPr>
              <w:spacing w:after="0"/>
            </w:pPr>
            <w:r>
              <w:rPr>
                <w:sz w:val="16"/>
              </w:rPr>
              <w:t>Strategic priorities</w:t>
            </w:r>
          </w:p>
        </w:tc>
        <w:tc>
          <w:tcPr>
            <w:tcW w:type="dxa" w:w="7776"/>
            <w:tcMar>
              <w:top w:w="90" w:type="dxa"/>
              <w:start w:w="100" w:type="dxa"/>
              <w:bottom w:w="90" w:type="dxa"/>
              <w:end w:w="100" w:type="dxa"/>
            </w:tcMar>
            <w:vAlign w:val="center"/>
          </w:tcPr>
          <w:p>
            <w:pPr>
              <w:spacing w:after="0"/>
            </w:pPr>
            <w:r>
              <w:rPr>
                <w:sz w:val="16"/>
              </w:rPr>
              <w:t>Markets, genres, demographics, rights, talent tiers, and financial targets they favor.</w:t>
            </w:r>
          </w:p>
        </w:tc>
      </w:tr>
      <w:tr>
        <w:trPr>
          <w:cantSplit/>
        </w:trPr>
        <w:tc>
          <w:tcPr>
            <w:tcW w:type="dxa" w:w="2304"/>
            <w:tcMar>
              <w:top w:w="90" w:type="dxa"/>
              <w:start w:w="100" w:type="dxa"/>
              <w:bottom w:w="90" w:type="dxa"/>
              <w:end w:w="100" w:type="dxa"/>
            </w:tcMar>
            <w:vAlign w:val="center"/>
          </w:tcPr>
          <w:p>
            <w:pPr>
              <w:spacing w:after="0"/>
            </w:pPr>
            <w:r>
              <w:rPr>
                <w:sz w:val="16"/>
              </w:rPr>
              <w:t>Risk tolerance</w:t>
            </w:r>
          </w:p>
        </w:tc>
        <w:tc>
          <w:tcPr>
            <w:tcW w:type="dxa" w:w="7776"/>
            <w:tcMar>
              <w:top w:w="90" w:type="dxa"/>
              <w:start w:w="100" w:type="dxa"/>
              <w:bottom w:w="90" w:type="dxa"/>
              <w:end w:w="100" w:type="dxa"/>
            </w:tcMar>
            <w:vAlign w:val="center"/>
          </w:tcPr>
          <w:p>
            <w:pPr>
              <w:spacing w:after="0"/>
            </w:pPr>
            <w:r>
              <w:rPr>
                <w:sz w:val="16"/>
              </w:rPr>
              <w:t>How much debt, pilot failure, rights inflation, and short-term loss they accept.</w:t>
            </w:r>
          </w:p>
        </w:tc>
      </w:tr>
      <w:tr>
        <w:trPr>
          <w:cantSplit/>
        </w:trPr>
        <w:tc>
          <w:tcPr>
            <w:tcW w:type="dxa" w:w="2304"/>
            <w:tcMar>
              <w:top w:w="90" w:type="dxa"/>
              <w:start w:w="100" w:type="dxa"/>
              <w:bottom w:w="90" w:type="dxa"/>
              <w:end w:w="100" w:type="dxa"/>
            </w:tcMar>
            <w:vAlign w:val="center"/>
          </w:tcPr>
          <w:p>
            <w:pPr>
              <w:spacing w:after="0"/>
            </w:pPr>
            <w:r>
              <w:rPr>
                <w:sz w:val="16"/>
              </w:rPr>
              <w:t>Programming doctrine</w:t>
            </w:r>
          </w:p>
        </w:tc>
        <w:tc>
          <w:tcPr>
            <w:tcW w:type="dxa" w:w="7776"/>
            <w:tcMar>
              <w:top w:w="90" w:type="dxa"/>
              <w:start w:w="100" w:type="dxa"/>
              <w:bottom w:w="90" w:type="dxa"/>
              <w:end w:w="100" w:type="dxa"/>
            </w:tcMar>
            <w:vAlign w:val="center"/>
          </w:tcPr>
          <w:p>
            <w:pPr>
              <w:spacing w:after="0"/>
            </w:pPr>
            <w:r>
              <w:rPr>
                <w:sz w:val="16"/>
              </w:rPr>
              <w:t>Stable schedule, rapid cancellation, franchise-heavy, live-first, premium originals, broad family appeal, ideological news.</w:t>
            </w:r>
          </w:p>
        </w:tc>
      </w:tr>
      <w:tr>
        <w:trPr>
          <w:cantSplit/>
        </w:trPr>
        <w:tc>
          <w:tcPr>
            <w:tcW w:type="dxa" w:w="2304"/>
            <w:tcMar>
              <w:top w:w="90" w:type="dxa"/>
              <w:start w:w="100" w:type="dxa"/>
              <w:bottom w:w="90" w:type="dxa"/>
              <w:end w:w="100" w:type="dxa"/>
            </w:tcMar>
            <w:vAlign w:val="center"/>
          </w:tcPr>
          <w:p>
            <w:pPr>
              <w:spacing w:after="0"/>
            </w:pPr>
            <w:r>
              <w:rPr>
                <w:sz w:val="16"/>
              </w:rPr>
              <w:t>Talent reputation</w:t>
            </w:r>
          </w:p>
        </w:tc>
        <w:tc>
          <w:tcPr>
            <w:tcW w:type="dxa" w:w="7776"/>
            <w:tcMar>
              <w:top w:w="90" w:type="dxa"/>
              <w:start w:w="100" w:type="dxa"/>
              <w:bottom w:w="90" w:type="dxa"/>
              <w:end w:w="100" w:type="dxa"/>
            </w:tcMar>
            <w:vAlign w:val="center"/>
          </w:tcPr>
          <w:p>
            <w:pPr>
              <w:spacing w:after="0"/>
            </w:pPr>
            <w:r>
              <w:rPr>
                <w:sz w:val="16"/>
              </w:rPr>
              <w:t>Whether people see the company as prestigious, safe, exploitative, innovative, reliable, or career-making.</w:t>
            </w:r>
          </w:p>
        </w:tc>
      </w:tr>
      <w:tr>
        <w:trPr>
          <w:cantSplit/>
        </w:trPr>
        <w:tc>
          <w:tcPr>
            <w:tcW w:type="dxa" w:w="2304"/>
            <w:tcMar>
              <w:top w:w="90" w:type="dxa"/>
              <w:start w:w="100" w:type="dxa"/>
              <w:bottom w:w="90" w:type="dxa"/>
              <w:end w:w="100" w:type="dxa"/>
            </w:tcMar>
            <w:vAlign w:val="center"/>
          </w:tcPr>
          <w:p>
            <w:pPr>
              <w:spacing w:after="0"/>
            </w:pPr>
            <w:r>
              <w:rPr>
                <w:sz w:val="16"/>
              </w:rPr>
              <w:t>Operational strengths</w:t>
            </w:r>
          </w:p>
        </w:tc>
        <w:tc>
          <w:tcPr>
            <w:tcW w:type="dxa" w:w="7776"/>
            <w:tcMar>
              <w:top w:w="90" w:type="dxa"/>
              <w:start w:w="100" w:type="dxa"/>
              <w:bottom w:w="90" w:type="dxa"/>
              <w:end w:w="100" w:type="dxa"/>
            </w:tcMar>
            <w:vAlign w:val="center"/>
          </w:tcPr>
          <w:p>
            <w:pPr>
              <w:spacing w:after="0"/>
            </w:pPr>
            <w:r>
              <w:rPr>
                <w:sz w:val="16"/>
              </w:rPr>
              <w:t>News gathering, live events, visual effects, comedy, international sales, marketing, data, production speed.</w:t>
            </w:r>
          </w:p>
        </w:tc>
      </w:tr>
      <w:tr>
        <w:trPr>
          <w:cantSplit/>
        </w:trPr>
        <w:tc>
          <w:tcPr>
            <w:tcW w:type="dxa" w:w="2304"/>
            <w:tcMar>
              <w:top w:w="90" w:type="dxa"/>
              <w:start w:w="100" w:type="dxa"/>
              <w:bottom w:w="90" w:type="dxa"/>
              <w:end w:w="100" w:type="dxa"/>
            </w:tcMar>
            <w:vAlign w:val="center"/>
          </w:tcPr>
          <w:p>
            <w:pPr>
              <w:spacing w:after="0"/>
            </w:pPr>
            <w:r>
              <w:rPr>
                <w:sz w:val="16"/>
              </w:rPr>
              <w:t>Financial condition</w:t>
            </w:r>
          </w:p>
        </w:tc>
        <w:tc>
          <w:tcPr>
            <w:tcW w:type="dxa" w:w="7776"/>
            <w:tcMar>
              <w:top w:w="90" w:type="dxa"/>
              <w:start w:w="100" w:type="dxa"/>
              <w:bottom w:w="90" w:type="dxa"/>
              <w:end w:w="100" w:type="dxa"/>
            </w:tcMar>
            <w:vAlign w:val="center"/>
          </w:tcPr>
          <w:p>
            <w:pPr>
              <w:spacing w:after="0"/>
            </w:pPr>
            <w:r>
              <w:rPr>
                <w:sz w:val="16"/>
              </w:rPr>
              <w:t>Cash, debt, profitability, credit, ownership pressure, and vulnerability to takeover.</w:t>
            </w:r>
          </w:p>
        </w:tc>
      </w:tr>
    </w:tbl>
    <w:p>
      <w:pPr>
        <w:spacing w:after="0"/>
      </w:pPr>
    </w:p>
    <w:p>
      <w:r>
        <w:t>Competitors bid for the same rights, talent, affiliates, carriage, advertisers, and production capacity. Their decisions change prices. A national network overpaying for football can weaken its drama budget; a streamer canceling shows can flood the talent market; a regional station closing can create an acquisition opportunity.</w:t>
      </w:r>
    </w:p>
    <w:p>
      <w:pPr>
        <w:pStyle w:val="Heading1"/>
      </w:pPr>
      <w:r>
        <w:t>6. The Weekly CEO Loop</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584"/>
            <w:shd w:fill="1F4E79"/>
            <w:tcMar>
              <w:top w:w="90" w:type="dxa"/>
              <w:start w:w="100" w:type="dxa"/>
              <w:bottom w:w="90" w:type="dxa"/>
              <w:end w:w="100" w:type="dxa"/>
            </w:tcMar>
            <w:vAlign w:val="center"/>
          </w:tcPr>
          <w:p>
            <w:pPr>
              <w:jc w:val="center"/>
            </w:pPr>
            <w:r>
              <w:rPr>
                <w:b/>
                <w:color w:val="FFFFFF"/>
                <w:sz w:val="17"/>
              </w:rPr>
              <w:t>Phase</w:t>
            </w:r>
          </w:p>
        </w:tc>
        <w:tc>
          <w:tcPr>
            <w:tcW w:type="dxa" w:w="8496"/>
            <w:shd w:fill="1F4E79"/>
            <w:tcMar>
              <w:top w:w="90" w:type="dxa"/>
              <w:start w:w="100" w:type="dxa"/>
              <w:bottom w:w="90" w:type="dxa"/>
              <w:end w:w="100" w:type="dxa"/>
            </w:tcMar>
            <w:vAlign w:val="center"/>
          </w:tcPr>
          <w:p>
            <w:pPr>
              <w:jc w:val="center"/>
            </w:pPr>
            <w:r>
              <w:rPr>
                <w:b/>
                <w:color w:val="FFFFFF"/>
                <w:sz w:val="17"/>
              </w:rPr>
              <w:t>Player activity</w:t>
            </w:r>
          </w:p>
        </w:tc>
      </w:tr>
      <w:tr>
        <w:trPr>
          <w:cantSplit/>
        </w:trPr>
        <w:tc>
          <w:tcPr>
            <w:tcW w:type="dxa" w:w="1584"/>
            <w:tcMar>
              <w:top w:w="90" w:type="dxa"/>
              <w:start w:w="100" w:type="dxa"/>
              <w:bottom w:w="90" w:type="dxa"/>
              <w:end w:w="100" w:type="dxa"/>
            </w:tcMar>
            <w:vAlign w:val="center"/>
          </w:tcPr>
          <w:p>
            <w:pPr>
              <w:spacing w:after="0"/>
            </w:pPr>
            <w:r>
              <w:rPr>
                <w:sz w:val="17"/>
              </w:rPr>
              <w:t>Review</w:t>
            </w:r>
          </w:p>
        </w:tc>
        <w:tc>
          <w:tcPr>
            <w:tcW w:type="dxa" w:w="8496"/>
            <w:tcMar>
              <w:top w:w="90" w:type="dxa"/>
              <w:start w:w="100" w:type="dxa"/>
              <w:bottom w:w="90" w:type="dxa"/>
              <w:end w:w="100" w:type="dxa"/>
            </w:tcMar>
            <w:vAlign w:val="center"/>
          </w:tcPr>
          <w:p>
            <w:pPr>
              <w:spacing w:after="0"/>
            </w:pPr>
            <w:r>
              <w:rPr>
                <w:sz w:val="17"/>
              </w:rPr>
              <w:t>Read the executive home page, trade press, ratings, MTD/YTD rankings, financial exceptions, production delays, and competitor activity.</w:t>
            </w:r>
          </w:p>
        </w:tc>
      </w:tr>
      <w:tr>
        <w:trPr>
          <w:cantSplit/>
        </w:trPr>
        <w:tc>
          <w:tcPr>
            <w:tcW w:type="dxa" w:w="1584"/>
            <w:tcMar>
              <w:top w:w="90" w:type="dxa"/>
              <w:start w:w="100" w:type="dxa"/>
              <w:bottom w:w="90" w:type="dxa"/>
              <w:end w:w="100" w:type="dxa"/>
            </w:tcMar>
            <w:vAlign w:val="center"/>
          </w:tcPr>
          <w:p>
            <w:pPr>
              <w:spacing w:after="0"/>
            </w:pPr>
            <w:r>
              <w:rPr>
                <w:sz w:val="17"/>
              </w:rPr>
              <w:t>Decide</w:t>
            </w:r>
          </w:p>
        </w:tc>
        <w:tc>
          <w:tcPr>
            <w:tcW w:type="dxa" w:w="8496"/>
            <w:tcMar>
              <w:top w:w="90" w:type="dxa"/>
              <w:start w:w="100" w:type="dxa"/>
              <w:bottom w:w="90" w:type="dxa"/>
              <w:end w:w="100" w:type="dxa"/>
            </w:tcMar>
            <w:vAlign w:val="center"/>
          </w:tcPr>
          <w:p>
            <w:pPr>
              <w:spacing w:after="0"/>
            </w:pPr>
            <w:r>
              <w:rPr>
                <w:sz w:val="17"/>
              </w:rPr>
              <w:t>Approve major creative, talent, rights, distribution, finance, marketing, and organizational choices.</w:t>
            </w:r>
          </w:p>
        </w:tc>
      </w:tr>
      <w:tr>
        <w:trPr>
          <w:cantSplit/>
        </w:trPr>
        <w:tc>
          <w:tcPr>
            <w:tcW w:type="dxa" w:w="1584"/>
            <w:tcMar>
              <w:top w:w="90" w:type="dxa"/>
              <w:start w:w="100" w:type="dxa"/>
              <w:bottom w:w="90" w:type="dxa"/>
              <w:end w:w="100" w:type="dxa"/>
            </w:tcMar>
            <w:vAlign w:val="center"/>
          </w:tcPr>
          <w:p>
            <w:pPr>
              <w:spacing w:after="0"/>
            </w:pPr>
            <w:r>
              <w:rPr>
                <w:sz w:val="17"/>
              </w:rPr>
              <w:t>Schedule</w:t>
            </w:r>
          </w:p>
        </w:tc>
        <w:tc>
          <w:tcPr>
            <w:tcW w:type="dxa" w:w="8496"/>
            <w:tcMar>
              <w:top w:w="90" w:type="dxa"/>
              <w:start w:w="100" w:type="dxa"/>
              <w:bottom w:w="90" w:type="dxa"/>
              <w:end w:w="100" w:type="dxa"/>
            </w:tcMar>
            <w:vAlign w:val="center"/>
          </w:tcPr>
          <w:p>
            <w:pPr>
              <w:spacing w:after="0"/>
            </w:pPr>
            <w:r>
              <w:rPr>
                <w:sz w:val="17"/>
              </w:rPr>
              <w:t>Place available content, adjust dayparts, protect launches, respond to competitors, and reserve live windows.</w:t>
            </w:r>
          </w:p>
        </w:tc>
      </w:tr>
      <w:tr>
        <w:trPr>
          <w:cantSplit/>
        </w:trPr>
        <w:tc>
          <w:tcPr>
            <w:tcW w:type="dxa" w:w="1584"/>
            <w:tcMar>
              <w:top w:w="90" w:type="dxa"/>
              <w:start w:w="100" w:type="dxa"/>
              <w:bottom w:w="90" w:type="dxa"/>
              <w:end w:w="100" w:type="dxa"/>
            </w:tcMar>
            <w:vAlign w:val="center"/>
          </w:tcPr>
          <w:p>
            <w:pPr>
              <w:spacing w:after="0"/>
            </w:pPr>
            <w:r>
              <w:rPr>
                <w:sz w:val="17"/>
              </w:rPr>
              <w:t>Negotiate</w:t>
            </w:r>
          </w:p>
        </w:tc>
        <w:tc>
          <w:tcPr>
            <w:tcW w:type="dxa" w:w="8496"/>
            <w:tcMar>
              <w:top w:w="90" w:type="dxa"/>
              <w:start w:w="100" w:type="dxa"/>
              <w:bottom w:w="90" w:type="dxa"/>
              <w:end w:w="100" w:type="dxa"/>
            </w:tcMar>
            <w:vAlign w:val="center"/>
          </w:tcPr>
          <w:p>
            <w:pPr>
              <w:spacing w:after="0"/>
            </w:pPr>
            <w:r>
              <w:rPr>
                <w:sz w:val="17"/>
              </w:rPr>
              <w:t>Make or respond to offers for talent, rights, carriage, affiliates, sponsors, syndication, and facilities.</w:t>
            </w:r>
          </w:p>
        </w:tc>
      </w:tr>
      <w:tr>
        <w:trPr>
          <w:cantSplit/>
        </w:trPr>
        <w:tc>
          <w:tcPr>
            <w:tcW w:type="dxa" w:w="1584"/>
            <w:tcMar>
              <w:top w:w="90" w:type="dxa"/>
              <w:start w:w="100" w:type="dxa"/>
              <w:bottom w:w="90" w:type="dxa"/>
              <w:end w:w="100" w:type="dxa"/>
            </w:tcMar>
            <w:vAlign w:val="center"/>
          </w:tcPr>
          <w:p>
            <w:pPr>
              <w:spacing w:after="0"/>
            </w:pPr>
            <w:r>
              <w:rPr>
                <w:sz w:val="17"/>
              </w:rPr>
              <w:t>Simulate</w:t>
            </w:r>
          </w:p>
        </w:tc>
        <w:tc>
          <w:tcPr>
            <w:tcW w:type="dxa" w:w="8496"/>
            <w:tcMar>
              <w:top w:w="90" w:type="dxa"/>
              <w:start w:w="100" w:type="dxa"/>
              <w:bottom w:w="90" w:type="dxa"/>
              <w:end w:w="100" w:type="dxa"/>
            </w:tcMar>
            <w:vAlign w:val="center"/>
          </w:tcPr>
          <w:p>
            <w:pPr>
              <w:spacing w:after="0"/>
            </w:pPr>
            <w:r>
              <w:rPr>
                <w:sz w:val="17"/>
              </w:rPr>
              <w:t>Advance one week, four weeks, or to the next major decision point.</w:t>
            </w:r>
          </w:p>
        </w:tc>
      </w:tr>
      <w:tr>
        <w:trPr>
          <w:cantSplit/>
        </w:trPr>
        <w:tc>
          <w:tcPr>
            <w:tcW w:type="dxa" w:w="1584"/>
            <w:tcMar>
              <w:top w:w="90" w:type="dxa"/>
              <w:start w:w="100" w:type="dxa"/>
              <w:bottom w:w="90" w:type="dxa"/>
              <w:end w:w="100" w:type="dxa"/>
            </w:tcMar>
            <w:vAlign w:val="center"/>
          </w:tcPr>
          <w:p>
            <w:pPr>
              <w:spacing w:after="0"/>
            </w:pPr>
            <w:r>
              <w:rPr>
                <w:sz w:val="17"/>
              </w:rPr>
              <w:t>Interpret</w:t>
            </w:r>
          </w:p>
        </w:tc>
        <w:tc>
          <w:tcPr>
            <w:tcW w:type="dxa" w:w="8496"/>
            <w:tcMar>
              <w:top w:w="90" w:type="dxa"/>
              <w:start w:w="100" w:type="dxa"/>
              <w:bottom w:w="90" w:type="dxa"/>
              <w:end w:w="100" w:type="dxa"/>
            </w:tcMar>
            <w:vAlign w:val="center"/>
          </w:tcPr>
          <w:p>
            <w:pPr>
              <w:spacing w:after="0"/>
            </w:pPr>
            <w:r>
              <w:rPr>
                <w:sz w:val="17"/>
              </w:rPr>
              <w:t>See results as business outcomes and stories: hits, failures, breakouts, controversies, audience migration, and strategic consequences.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EAF1F8"/>
            <w:tcMar>
              <w:top w:w="120" w:type="dxa"/>
              <w:start w:w="160" w:type="dxa"/>
              <w:bottom w:w="120" w:type="dxa"/>
              <w:end w:w="160" w:type="dxa"/>
            </w:tcMar>
          </w:tcPr>
          <w:p>
            <w:r>
              <w:rPr>
                <w:b/>
                <w:color w:val="1F4E79"/>
              </w:rPr>
              <w:t xml:space="preserve">Decision density — </w:t>
            </w:r>
            <w:r>
              <w:t>The game should not interrupt the player for every operational detail. Department heads resolve routine matters within budgets and policies. CEO decisions are reserved for strategic commitments, exceptions, high-value talent, flagship content, reputational risk, and choices that define the network.</w:t>
            </w:r>
          </w:p>
        </w:tc>
      </w:tr>
    </w:tbl>
    <w:p>
      <w:pPr>
        <w:spacing w:after="0"/>
      </w:pPr>
    </w:p>
    <w:p>
      <w:pPr>
        <w:pStyle w:val="Heading1"/>
      </w:pPr>
      <w:r>
        <w:t>7. Creative Studio and Content Taxonomy</w:t>
      </w:r>
    </w:p>
    <w:p>
      <w:r>
        <w:t>The creative studio is a structured idea-development system. The player defines a project’s identity and ambition; the simulation turns those decisions into script requirements, production needs, audience expectations, and costs. Not every subtype is available at the beginning.</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1F4E79"/>
            <w:tcMar>
              <w:top w:w="90" w:type="dxa"/>
              <w:start w:w="100" w:type="dxa"/>
              <w:bottom w:w="90" w:type="dxa"/>
              <w:end w:w="100" w:type="dxa"/>
            </w:tcMar>
            <w:vAlign w:val="center"/>
          </w:tcPr>
          <w:p>
            <w:pPr>
              <w:jc w:val="center"/>
            </w:pPr>
            <w:r>
              <w:rPr>
                <w:b/>
                <w:color w:val="FFFFFF"/>
                <w:sz w:val="16"/>
              </w:rPr>
              <w:t>Category</w:t>
            </w:r>
          </w:p>
        </w:tc>
        <w:tc>
          <w:tcPr>
            <w:tcW w:type="dxa" w:w="7992"/>
            <w:shd w:fill="1F4E79"/>
            <w:tcMar>
              <w:top w:w="90" w:type="dxa"/>
              <w:start w:w="100" w:type="dxa"/>
              <w:bottom w:w="90" w:type="dxa"/>
              <w:end w:w="100" w:type="dxa"/>
            </w:tcMar>
            <w:vAlign w:val="center"/>
          </w:tcPr>
          <w:p>
            <w:pPr>
              <w:jc w:val="center"/>
            </w:pPr>
            <w:r>
              <w:rPr>
                <w:b/>
                <w:color w:val="FFFFFF"/>
                <w:sz w:val="16"/>
              </w:rPr>
              <w:t>Subtypes</w:t>
            </w:r>
          </w:p>
        </w:tc>
      </w:tr>
      <w:tr>
        <w:trPr>
          <w:cantSplit/>
        </w:trPr>
        <w:tc>
          <w:tcPr>
            <w:tcW w:type="dxa" w:w="2088"/>
            <w:tcMar>
              <w:top w:w="90" w:type="dxa"/>
              <w:start w:w="100" w:type="dxa"/>
              <w:bottom w:w="90" w:type="dxa"/>
              <w:end w:w="100" w:type="dxa"/>
            </w:tcMar>
            <w:vAlign w:val="center"/>
          </w:tcPr>
          <w:p>
            <w:pPr>
              <w:spacing w:after="0"/>
            </w:pPr>
            <w:r>
              <w:rPr>
                <w:sz w:val="16"/>
              </w:rPr>
              <w:t>Scripted drama</w:t>
            </w:r>
          </w:p>
        </w:tc>
        <w:tc>
          <w:tcPr>
            <w:tcW w:type="dxa" w:w="7992"/>
            <w:tcMar>
              <w:top w:w="90" w:type="dxa"/>
              <w:start w:w="100" w:type="dxa"/>
              <w:bottom w:w="90" w:type="dxa"/>
              <w:end w:w="100" w:type="dxa"/>
            </w:tcMar>
            <w:vAlign w:val="center"/>
          </w:tcPr>
          <w:p>
            <w:pPr>
              <w:spacing w:after="0"/>
            </w:pPr>
            <w:r>
              <w:rPr>
                <w:sz w:val="16"/>
              </w:rPr>
              <w:t>Police/crime; medical; legal; political; historical/medieval; science fiction; fantasy; thriller; family; young adult; soap; anthology.</w:t>
            </w:r>
          </w:p>
        </w:tc>
      </w:tr>
      <w:tr>
        <w:trPr>
          <w:cantSplit/>
        </w:trPr>
        <w:tc>
          <w:tcPr>
            <w:tcW w:type="dxa" w:w="2088"/>
            <w:tcMar>
              <w:top w:w="90" w:type="dxa"/>
              <w:start w:w="100" w:type="dxa"/>
              <w:bottom w:w="90" w:type="dxa"/>
              <w:end w:w="100" w:type="dxa"/>
            </w:tcMar>
            <w:vAlign w:val="center"/>
          </w:tcPr>
          <w:p>
            <w:pPr>
              <w:spacing w:after="0"/>
            </w:pPr>
            <w:r>
              <w:rPr>
                <w:sz w:val="16"/>
              </w:rPr>
              <w:t>Scripted comedy</w:t>
            </w:r>
          </w:p>
        </w:tc>
        <w:tc>
          <w:tcPr>
            <w:tcW w:type="dxa" w:w="7992"/>
            <w:tcMar>
              <w:top w:w="90" w:type="dxa"/>
              <w:start w:w="100" w:type="dxa"/>
              <w:bottom w:w="90" w:type="dxa"/>
              <w:end w:w="100" w:type="dxa"/>
            </w:tcMar>
            <w:vAlign w:val="center"/>
          </w:tcPr>
          <w:p>
            <w:pPr>
              <w:spacing w:after="0"/>
            </w:pPr>
            <w:r>
              <w:rPr>
                <w:sz w:val="16"/>
              </w:rPr>
              <w:t>Workplace; family; romantic; satirical; sketch; animated; dark comedy; multi-camera; single-camera.</w:t>
            </w:r>
          </w:p>
        </w:tc>
      </w:tr>
      <w:tr>
        <w:trPr>
          <w:cantSplit/>
        </w:trPr>
        <w:tc>
          <w:tcPr>
            <w:tcW w:type="dxa" w:w="2088"/>
            <w:tcMar>
              <w:top w:w="90" w:type="dxa"/>
              <w:start w:w="100" w:type="dxa"/>
              <w:bottom w:w="90" w:type="dxa"/>
              <w:end w:w="100" w:type="dxa"/>
            </w:tcMar>
            <w:vAlign w:val="center"/>
          </w:tcPr>
          <w:p>
            <w:pPr>
              <w:spacing w:after="0"/>
            </w:pPr>
            <w:r>
              <w:rPr>
                <w:sz w:val="16"/>
              </w:rPr>
              <w:t>Contest / game</w:t>
            </w:r>
          </w:p>
        </w:tc>
        <w:tc>
          <w:tcPr>
            <w:tcW w:type="dxa" w:w="7992"/>
            <w:tcMar>
              <w:top w:w="90" w:type="dxa"/>
              <w:start w:w="100" w:type="dxa"/>
              <w:bottom w:w="90" w:type="dxa"/>
              <w:end w:w="100" w:type="dxa"/>
            </w:tcMar>
            <w:vAlign w:val="center"/>
          </w:tcPr>
          <w:p>
            <w:pPr>
              <w:spacing w:after="0"/>
            </w:pPr>
            <w:r>
              <w:rPr>
                <w:sz w:val="16"/>
              </w:rPr>
              <w:t>Culture and knowledge; quiz; physical obstacle; talent; cooking; family participation; strategy; social deduction; children.</w:t>
            </w:r>
          </w:p>
        </w:tc>
      </w:tr>
      <w:tr>
        <w:trPr>
          <w:cantSplit/>
        </w:trPr>
        <w:tc>
          <w:tcPr>
            <w:tcW w:type="dxa" w:w="2088"/>
            <w:tcMar>
              <w:top w:w="90" w:type="dxa"/>
              <w:start w:w="100" w:type="dxa"/>
              <w:bottom w:w="90" w:type="dxa"/>
              <w:end w:w="100" w:type="dxa"/>
            </w:tcMar>
            <w:vAlign w:val="center"/>
          </w:tcPr>
          <w:p>
            <w:pPr>
              <w:spacing w:after="0"/>
            </w:pPr>
            <w:r>
              <w:rPr>
                <w:sz w:val="16"/>
              </w:rPr>
              <w:t>Reality</w:t>
            </w:r>
          </w:p>
        </w:tc>
        <w:tc>
          <w:tcPr>
            <w:tcW w:type="dxa" w:w="7992"/>
            <w:tcMar>
              <w:top w:w="90" w:type="dxa"/>
              <w:start w:w="100" w:type="dxa"/>
              <w:bottom w:w="90" w:type="dxa"/>
              <w:end w:w="100" w:type="dxa"/>
            </w:tcMar>
            <w:vAlign w:val="center"/>
          </w:tcPr>
          <w:p>
            <w:pPr>
              <w:spacing w:after="0"/>
            </w:pPr>
            <w:r>
              <w:rPr>
                <w:sz w:val="16"/>
              </w:rPr>
              <w:t>House/regular; survival; dating/love; lifestyle; transformation; business; competition; celebrity; documentary reality.</w:t>
            </w:r>
          </w:p>
        </w:tc>
      </w:tr>
      <w:tr>
        <w:trPr>
          <w:cantSplit/>
        </w:trPr>
        <w:tc>
          <w:tcPr>
            <w:tcW w:type="dxa" w:w="2088"/>
            <w:tcMar>
              <w:top w:w="90" w:type="dxa"/>
              <w:start w:w="100" w:type="dxa"/>
              <w:bottom w:w="90" w:type="dxa"/>
              <w:end w:w="100" w:type="dxa"/>
            </w:tcMar>
            <w:vAlign w:val="center"/>
          </w:tcPr>
          <w:p>
            <w:pPr>
              <w:spacing w:after="0"/>
            </w:pPr>
            <w:r>
              <w:rPr>
                <w:sz w:val="16"/>
              </w:rPr>
              <w:t>News and factual</w:t>
            </w:r>
          </w:p>
        </w:tc>
        <w:tc>
          <w:tcPr>
            <w:tcW w:type="dxa" w:w="7992"/>
            <w:tcMar>
              <w:top w:w="90" w:type="dxa"/>
              <w:start w:w="100" w:type="dxa"/>
              <w:bottom w:w="90" w:type="dxa"/>
              <w:end w:w="100" w:type="dxa"/>
            </w:tcMar>
            <w:vAlign w:val="center"/>
          </w:tcPr>
          <w:p>
            <w:pPr>
              <w:spacing w:after="0"/>
            </w:pPr>
            <w:r>
              <w:rPr>
                <w:sz w:val="16"/>
              </w:rPr>
              <w:t>Local daily news; rolling news; national evening news; investigative/current affairs; magazine; sports news; documentary; nature; science; history.</w:t>
            </w:r>
          </w:p>
        </w:tc>
      </w:tr>
      <w:tr>
        <w:trPr>
          <w:cantSplit/>
        </w:trPr>
        <w:tc>
          <w:tcPr>
            <w:tcW w:type="dxa" w:w="2088"/>
            <w:tcMar>
              <w:top w:w="90" w:type="dxa"/>
              <w:start w:w="100" w:type="dxa"/>
              <w:bottom w:w="90" w:type="dxa"/>
              <w:end w:w="100" w:type="dxa"/>
            </w:tcMar>
            <w:vAlign w:val="center"/>
          </w:tcPr>
          <w:p>
            <w:pPr>
              <w:spacing w:after="0"/>
            </w:pPr>
            <w:r>
              <w:rPr>
                <w:sz w:val="16"/>
              </w:rPr>
              <w:t>Talk and personality</w:t>
            </w:r>
          </w:p>
        </w:tc>
        <w:tc>
          <w:tcPr>
            <w:tcW w:type="dxa" w:w="7992"/>
            <w:tcMar>
              <w:top w:w="90" w:type="dxa"/>
              <w:start w:w="100" w:type="dxa"/>
              <w:bottom w:w="90" w:type="dxa"/>
              <w:end w:w="100" w:type="dxa"/>
            </w:tcMar>
            <w:vAlign w:val="center"/>
          </w:tcPr>
          <w:p>
            <w:pPr>
              <w:spacing w:after="0"/>
            </w:pPr>
            <w:r>
              <w:rPr>
                <w:sz w:val="16"/>
              </w:rPr>
              <w:t>Morning; daytime; late night; interview; debate/panel; advice; celebrity; political; sports discussion.</w:t>
            </w:r>
          </w:p>
        </w:tc>
      </w:tr>
      <w:tr>
        <w:trPr>
          <w:cantSplit/>
        </w:trPr>
        <w:tc>
          <w:tcPr>
            <w:tcW w:type="dxa" w:w="2088"/>
            <w:tcMar>
              <w:top w:w="90" w:type="dxa"/>
              <w:start w:w="100" w:type="dxa"/>
              <w:bottom w:w="90" w:type="dxa"/>
              <w:end w:w="100" w:type="dxa"/>
            </w:tcMar>
            <w:vAlign w:val="center"/>
          </w:tcPr>
          <w:p>
            <w:pPr>
              <w:spacing w:after="0"/>
            </w:pPr>
            <w:r>
              <w:rPr>
                <w:sz w:val="16"/>
              </w:rPr>
              <w:t>Children and family</w:t>
            </w:r>
          </w:p>
        </w:tc>
        <w:tc>
          <w:tcPr>
            <w:tcW w:type="dxa" w:w="7992"/>
            <w:tcMar>
              <w:top w:w="90" w:type="dxa"/>
              <w:start w:w="100" w:type="dxa"/>
              <w:bottom w:w="90" w:type="dxa"/>
              <w:end w:w="100" w:type="dxa"/>
            </w:tcMar>
            <w:vAlign w:val="center"/>
          </w:tcPr>
          <w:p>
            <w:pPr>
              <w:spacing w:after="0"/>
            </w:pPr>
            <w:r>
              <w:rPr>
                <w:sz w:val="16"/>
              </w:rPr>
              <w:t>Preschool; educational; animation; live action; family variety; youth competition.</w:t>
            </w:r>
          </w:p>
        </w:tc>
      </w:tr>
      <w:tr>
        <w:trPr>
          <w:cantSplit/>
        </w:trPr>
        <w:tc>
          <w:tcPr>
            <w:tcW w:type="dxa" w:w="2088"/>
            <w:tcMar>
              <w:top w:w="90" w:type="dxa"/>
              <w:start w:w="100" w:type="dxa"/>
              <w:bottom w:w="90" w:type="dxa"/>
              <w:end w:w="100" w:type="dxa"/>
            </w:tcMar>
            <w:vAlign w:val="center"/>
          </w:tcPr>
          <w:p>
            <w:pPr>
              <w:spacing w:after="0"/>
            </w:pPr>
            <w:r>
              <w:rPr>
                <w:sz w:val="16"/>
              </w:rPr>
              <w:t>Events and specials</w:t>
            </w:r>
          </w:p>
        </w:tc>
        <w:tc>
          <w:tcPr>
            <w:tcW w:type="dxa" w:w="7992"/>
            <w:tcMar>
              <w:top w:w="90" w:type="dxa"/>
              <w:start w:w="100" w:type="dxa"/>
              <w:bottom w:w="90" w:type="dxa"/>
              <w:end w:w="100" w:type="dxa"/>
            </w:tcMar>
            <w:vAlign w:val="center"/>
          </w:tcPr>
          <w:p>
            <w:pPr>
              <w:spacing w:after="0"/>
            </w:pPr>
            <w:r>
              <w:rPr>
                <w:sz w:val="16"/>
              </w:rPr>
              <w:t>Awards; concerts; holiday specials; debates; election coverage; ceremonies; one-off documentaries.</w:t>
            </w:r>
          </w:p>
        </w:tc>
      </w:tr>
      <w:tr>
        <w:trPr>
          <w:cantSplit/>
        </w:trPr>
        <w:tc>
          <w:tcPr>
            <w:tcW w:type="dxa" w:w="2088"/>
            <w:tcMar>
              <w:top w:w="90" w:type="dxa"/>
              <w:start w:w="100" w:type="dxa"/>
              <w:bottom w:w="90" w:type="dxa"/>
              <w:end w:w="100" w:type="dxa"/>
            </w:tcMar>
            <w:vAlign w:val="center"/>
          </w:tcPr>
          <w:p>
            <w:pPr>
              <w:spacing w:after="0"/>
            </w:pPr>
            <w:r>
              <w:rPr>
                <w:sz w:val="16"/>
              </w:rPr>
              <w:t>Acquired / rights content</w:t>
            </w:r>
          </w:p>
        </w:tc>
        <w:tc>
          <w:tcPr>
            <w:tcW w:type="dxa" w:w="7992"/>
            <w:tcMar>
              <w:top w:w="90" w:type="dxa"/>
              <w:start w:w="100" w:type="dxa"/>
              <w:bottom w:w="90" w:type="dxa"/>
              <w:end w:w="100" w:type="dxa"/>
            </w:tcMar>
            <w:vAlign w:val="center"/>
          </w:tcPr>
          <w:p>
            <w:pPr>
              <w:spacing w:after="0"/>
            </w:pPr>
            <w:r>
              <w:rPr>
                <w:sz w:val="16"/>
              </w:rPr>
              <w:t>Movie packages; sports competitions; imported series; format licenses; archival libraries; reruns.</w:t>
            </w:r>
          </w:p>
        </w:tc>
      </w:tr>
    </w:tbl>
    <w:p>
      <w:pPr>
        <w:spacing w:after="0"/>
      </w:pPr>
    </w:p>
    <w:p>
      <w:pPr>
        <w:pStyle w:val="Heading2"/>
      </w:pPr>
      <w:r>
        <w:t>7.1 Project-definition choices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9"/>
            <w:tcMar>
              <w:top w:w="90" w:type="dxa"/>
              <w:start w:w="100" w:type="dxa"/>
              <w:bottom w:w="90" w:type="dxa"/>
              <w:end w:w="100" w:type="dxa"/>
            </w:tcMar>
            <w:vAlign w:val="center"/>
          </w:tcPr>
          <w:p>
            <w:pPr>
              <w:jc w:val="center"/>
            </w:pPr>
            <w:r>
              <w:rPr>
                <w:b/>
                <w:color w:val="FFFFFF"/>
                <w:sz w:val="15"/>
              </w:rPr>
              <w:t>Choice family</w:t>
            </w:r>
          </w:p>
        </w:tc>
        <w:tc>
          <w:tcPr>
            <w:tcW w:type="dxa" w:w="3456"/>
            <w:shd w:fill="1F4E79"/>
            <w:tcMar>
              <w:top w:w="90" w:type="dxa"/>
              <w:start w:w="100" w:type="dxa"/>
              <w:bottom w:w="90" w:type="dxa"/>
              <w:end w:w="100" w:type="dxa"/>
            </w:tcMar>
            <w:vAlign w:val="center"/>
          </w:tcPr>
          <w:p>
            <w:pPr>
              <w:jc w:val="center"/>
            </w:pPr>
            <w:r>
              <w:rPr>
                <w:b/>
                <w:color w:val="FFFFFF"/>
                <w:sz w:val="15"/>
              </w:rPr>
              <w:t>Examples</w:t>
            </w:r>
          </w:p>
        </w:tc>
        <w:tc>
          <w:tcPr>
            <w:tcW w:type="dxa" w:w="4536"/>
            <w:shd w:fill="1F4E79"/>
            <w:tcMar>
              <w:top w:w="90" w:type="dxa"/>
              <w:start w:w="100" w:type="dxa"/>
              <w:bottom w:w="90" w:type="dxa"/>
              <w:end w:w="100" w:type="dxa"/>
            </w:tcMar>
            <w:vAlign w:val="center"/>
          </w:tcPr>
          <w:p>
            <w:pPr>
              <w:jc w:val="center"/>
            </w:pPr>
            <w:r>
              <w:rPr>
                <w:b/>
                <w:color w:val="FFFFFF"/>
                <w:sz w:val="15"/>
              </w:rPr>
              <w:t>Primary consequences</w:t>
            </w:r>
          </w:p>
        </w:tc>
      </w:tr>
      <w:tr>
        <w:trPr>
          <w:cantSplit/>
        </w:trPr>
        <w:tc>
          <w:tcPr>
            <w:tcW w:type="dxa" w:w="2088"/>
            <w:tcMar>
              <w:top w:w="90" w:type="dxa"/>
              <w:start w:w="100" w:type="dxa"/>
              <w:bottom w:w="90" w:type="dxa"/>
              <w:end w:w="100" w:type="dxa"/>
            </w:tcMar>
            <w:vAlign w:val="center"/>
          </w:tcPr>
          <w:p>
            <w:pPr>
              <w:spacing w:after="0"/>
            </w:pPr>
            <w:r>
              <w:rPr>
                <w:sz w:val="15"/>
              </w:rPr>
              <w:t>Concept</w:t>
            </w:r>
          </w:p>
        </w:tc>
        <w:tc>
          <w:tcPr>
            <w:tcW w:type="dxa" w:w="3456"/>
            <w:tcMar>
              <w:top w:w="90" w:type="dxa"/>
              <w:start w:w="100" w:type="dxa"/>
              <w:bottom w:w="90" w:type="dxa"/>
              <w:end w:w="100" w:type="dxa"/>
            </w:tcMar>
            <w:vAlign w:val="center"/>
          </w:tcPr>
          <w:p>
            <w:pPr>
              <w:spacing w:after="0"/>
            </w:pPr>
            <w:r>
              <w:rPr>
                <w:sz w:val="15"/>
              </w:rPr>
              <w:t>Genre, setting, premise, target audience, tone</w:t>
            </w:r>
          </w:p>
        </w:tc>
        <w:tc>
          <w:tcPr>
            <w:tcW w:type="dxa" w:w="4536"/>
            <w:tcMar>
              <w:top w:w="90" w:type="dxa"/>
              <w:start w:w="100" w:type="dxa"/>
              <w:bottom w:w="90" w:type="dxa"/>
              <w:end w:w="100" w:type="dxa"/>
            </w:tcMar>
            <w:vAlign w:val="center"/>
          </w:tcPr>
          <w:p>
            <w:pPr>
              <w:spacing w:after="0"/>
            </w:pPr>
            <w:r>
              <w:rPr>
                <w:sz w:val="15"/>
              </w:rPr>
              <w:t>Audience ceiling, creative identity, role requirements, research needs</w:t>
            </w:r>
          </w:p>
        </w:tc>
      </w:tr>
      <w:tr>
        <w:trPr>
          <w:cantSplit/>
        </w:trPr>
        <w:tc>
          <w:tcPr>
            <w:tcW w:type="dxa" w:w="2088"/>
            <w:tcMar>
              <w:top w:w="90" w:type="dxa"/>
              <w:start w:w="100" w:type="dxa"/>
              <w:bottom w:w="90" w:type="dxa"/>
              <w:end w:w="100" w:type="dxa"/>
            </w:tcMar>
            <w:vAlign w:val="center"/>
          </w:tcPr>
          <w:p>
            <w:pPr>
              <w:spacing w:after="0"/>
            </w:pPr>
            <w:r>
              <w:rPr>
                <w:sz w:val="15"/>
              </w:rPr>
              <w:t>Format</w:t>
            </w:r>
          </w:p>
        </w:tc>
        <w:tc>
          <w:tcPr>
            <w:tcW w:type="dxa" w:w="3456"/>
            <w:tcMar>
              <w:top w:w="90" w:type="dxa"/>
              <w:start w:w="100" w:type="dxa"/>
              <w:bottom w:w="90" w:type="dxa"/>
              <w:end w:w="100" w:type="dxa"/>
            </w:tcMar>
            <w:vAlign w:val="center"/>
          </w:tcPr>
          <w:p>
            <w:pPr>
              <w:spacing w:after="0"/>
            </w:pPr>
            <w:r>
              <w:rPr>
                <w:sz w:val="15"/>
              </w:rPr>
              <w:t>Episode length, live/recorded, seasonal/daily/weekly, limited/returning</w:t>
            </w:r>
          </w:p>
        </w:tc>
        <w:tc>
          <w:tcPr>
            <w:tcW w:type="dxa" w:w="4536"/>
            <w:tcMar>
              <w:top w:w="90" w:type="dxa"/>
              <w:start w:w="100" w:type="dxa"/>
              <w:bottom w:w="90" w:type="dxa"/>
              <w:end w:w="100" w:type="dxa"/>
            </w:tcMar>
            <w:vAlign w:val="center"/>
          </w:tcPr>
          <w:p>
            <w:pPr>
              <w:spacing w:after="0"/>
            </w:pPr>
            <w:r>
              <w:rPr>
                <w:sz w:val="15"/>
              </w:rPr>
              <w:t>Schedule flexibility, staffing, production cycle, ad inventory</w:t>
            </w:r>
          </w:p>
        </w:tc>
      </w:tr>
      <w:tr>
        <w:trPr>
          <w:cantSplit/>
        </w:trPr>
        <w:tc>
          <w:tcPr>
            <w:tcW w:type="dxa" w:w="2088"/>
            <w:tcMar>
              <w:top w:w="90" w:type="dxa"/>
              <w:start w:w="100" w:type="dxa"/>
              <w:bottom w:w="90" w:type="dxa"/>
              <w:end w:w="100" w:type="dxa"/>
            </w:tcMar>
            <w:vAlign w:val="center"/>
          </w:tcPr>
          <w:p>
            <w:pPr>
              <w:spacing w:after="0"/>
            </w:pPr>
            <w:r>
              <w:rPr>
                <w:sz w:val="15"/>
              </w:rPr>
              <w:t>Narrative architecture</w:t>
            </w:r>
          </w:p>
        </w:tc>
        <w:tc>
          <w:tcPr>
            <w:tcW w:type="dxa" w:w="3456"/>
            <w:tcMar>
              <w:top w:w="90" w:type="dxa"/>
              <w:start w:w="100" w:type="dxa"/>
              <w:bottom w:w="90" w:type="dxa"/>
              <w:end w:w="100" w:type="dxa"/>
            </w:tcMar>
            <w:vAlign w:val="center"/>
          </w:tcPr>
          <w:p>
            <w:pPr>
              <w:spacing w:after="0"/>
            </w:pPr>
            <w:r>
              <w:rPr>
                <w:sz w:val="15"/>
              </w:rPr>
              <w:t>Standalone episodes; season-long story; multi-season serial; anthology</w:t>
            </w:r>
          </w:p>
        </w:tc>
        <w:tc>
          <w:tcPr>
            <w:tcW w:type="dxa" w:w="4536"/>
            <w:tcMar>
              <w:top w:w="90" w:type="dxa"/>
              <w:start w:w="100" w:type="dxa"/>
              <w:bottom w:w="90" w:type="dxa"/>
              <w:end w:w="100" w:type="dxa"/>
            </w:tcMar>
            <w:vAlign w:val="center"/>
          </w:tcPr>
          <w:p>
            <w:pPr>
              <w:spacing w:after="0"/>
            </w:pPr>
            <w:r>
              <w:rPr>
                <w:sz w:val="15"/>
              </w:rPr>
              <w:t>Accessibility, retention, binge appeal, rerun value, writing difficulty</w:t>
            </w:r>
          </w:p>
        </w:tc>
      </w:tr>
      <w:tr>
        <w:trPr>
          <w:cantSplit/>
        </w:trPr>
        <w:tc>
          <w:tcPr>
            <w:tcW w:type="dxa" w:w="2088"/>
            <w:tcMar>
              <w:top w:w="90" w:type="dxa"/>
              <w:start w:w="100" w:type="dxa"/>
              <w:bottom w:w="90" w:type="dxa"/>
              <w:end w:w="100" w:type="dxa"/>
            </w:tcMar>
            <w:vAlign w:val="center"/>
          </w:tcPr>
          <w:p>
            <w:pPr>
              <w:spacing w:after="0"/>
            </w:pPr>
            <w:r>
              <w:rPr>
                <w:sz w:val="15"/>
              </w:rPr>
              <w:t>Story rhythm</w:t>
            </w:r>
          </w:p>
        </w:tc>
        <w:tc>
          <w:tcPr>
            <w:tcW w:type="dxa" w:w="3456"/>
            <w:tcMar>
              <w:top w:w="90" w:type="dxa"/>
              <w:start w:w="100" w:type="dxa"/>
              <w:bottom w:w="90" w:type="dxa"/>
              <w:end w:w="100" w:type="dxa"/>
            </w:tcMar>
            <w:vAlign w:val="center"/>
          </w:tcPr>
          <w:p>
            <w:pPr>
              <w:spacing w:after="0"/>
            </w:pPr>
            <w:r>
              <w:rPr>
                <w:sz w:val="15"/>
              </w:rPr>
              <w:t>Closure vs cliffhangers; procedural vs character; fast vs reflective</w:t>
            </w:r>
          </w:p>
        </w:tc>
        <w:tc>
          <w:tcPr>
            <w:tcW w:type="dxa" w:w="4536"/>
            <w:tcMar>
              <w:top w:w="90" w:type="dxa"/>
              <w:start w:w="100" w:type="dxa"/>
              <w:bottom w:w="90" w:type="dxa"/>
              <w:end w:w="100" w:type="dxa"/>
            </w:tcMar>
            <w:vAlign w:val="center"/>
          </w:tcPr>
          <w:p>
            <w:pPr>
              <w:spacing w:after="0"/>
            </w:pPr>
            <w:r>
              <w:rPr>
                <w:sz w:val="15"/>
              </w:rPr>
              <w:t>Completion, loyalty, critical response, casual viewing</w:t>
            </w:r>
          </w:p>
        </w:tc>
      </w:tr>
      <w:tr>
        <w:trPr>
          <w:cantSplit/>
        </w:trPr>
        <w:tc>
          <w:tcPr>
            <w:tcW w:type="dxa" w:w="2088"/>
            <w:tcMar>
              <w:top w:w="90" w:type="dxa"/>
              <w:start w:w="100" w:type="dxa"/>
              <w:bottom w:w="90" w:type="dxa"/>
              <w:end w:w="100" w:type="dxa"/>
            </w:tcMar>
            <w:vAlign w:val="center"/>
          </w:tcPr>
          <w:p>
            <w:pPr>
              <w:spacing w:after="0"/>
            </w:pPr>
            <w:r>
              <w:rPr>
                <w:sz w:val="15"/>
              </w:rPr>
              <w:t>Production language</w:t>
            </w:r>
          </w:p>
        </w:tc>
        <w:tc>
          <w:tcPr>
            <w:tcW w:type="dxa" w:w="3456"/>
            <w:tcMar>
              <w:top w:w="90" w:type="dxa"/>
              <w:start w:w="100" w:type="dxa"/>
              <w:bottom w:w="90" w:type="dxa"/>
              <w:end w:w="100" w:type="dxa"/>
            </w:tcMar>
            <w:vAlign w:val="center"/>
          </w:tcPr>
          <w:p>
            <w:pPr>
              <w:spacing w:after="0"/>
            </w:pPr>
            <w:r>
              <w:rPr>
                <w:sz w:val="15"/>
              </w:rPr>
              <w:t>Studio/location mix, visual style, music ambition, practical effects, VFX/CGX, sets, wardrobe</w:t>
            </w:r>
          </w:p>
        </w:tc>
        <w:tc>
          <w:tcPr>
            <w:tcW w:type="dxa" w:w="4536"/>
            <w:tcMar>
              <w:top w:w="90" w:type="dxa"/>
              <w:start w:w="100" w:type="dxa"/>
              <w:bottom w:w="90" w:type="dxa"/>
              <w:end w:w="100" w:type="dxa"/>
            </w:tcMar>
            <w:vAlign w:val="center"/>
          </w:tcPr>
          <w:p>
            <w:pPr>
              <w:spacing w:after="0"/>
            </w:pPr>
            <w:r>
              <w:rPr>
                <w:sz w:val="15"/>
              </w:rPr>
              <w:t>Cost, capability requirements, production time, identity</w:t>
            </w:r>
          </w:p>
        </w:tc>
      </w:tr>
      <w:tr>
        <w:trPr>
          <w:cantSplit/>
        </w:trPr>
        <w:tc>
          <w:tcPr>
            <w:tcW w:type="dxa" w:w="2088"/>
            <w:tcMar>
              <w:top w:w="90" w:type="dxa"/>
              <w:start w:w="100" w:type="dxa"/>
              <w:bottom w:w="90" w:type="dxa"/>
              <w:end w:w="100" w:type="dxa"/>
            </w:tcMar>
            <w:vAlign w:val="center"/>
          </w:tcPr>
          <w:p>
            <w:pPr>
              <w:spacing w:after="0"/>
            </w:pPr>
            <w:r>
              <w:rPr>
                <w:sz w:val="15"/>
              </w:rPr>
              <w:t>Commercial posture</w:t>
            </w:r>
          </w:p>
        </w:tc>
        <w:tc>
          <w:tcPr>
            <w:tcW w:type="dxa" w:w="3456"/>
            <w:tcMar>
              <w:top w:w="90" w:type="dxa"/>
              <w:start w:w="100" w:type="dxa"/>
              <w:bottom w:w="90" w:type="dxa"/>
              <w:end w:w="100" w:type="dxa"/>
            </w:tcMar>
            <w:vAlign w:val="center"/>
          </w:tcPr>
          <w:p>
            <w:pPr>
              <w:spacing w:after="0"/>
            </w:pPr>
            <w:r>
              <w:rPr>
                <w:sz w:val="15"/>
              </w:rPr>
              <w:t>Broad, premium, youth, family-safe, provocative, advertiser-friendly</w:t>
            </w:r>
          </w:p>
        </w:tc>
        <w:tc>
          <w:tcPr>
            <w:tcW w:type="dxa" w:w="4536"/>
            <w:tcMar>
              <w:top w:w="90" w:type="dxa"/>
              <w:start w:w="100" w:type="dxa"/>
              <w:bottom w:w="90" w:type="dxa"/>
              <w:end w:w="100" w:type="dxa"/>
            </w:tcMar>
            <w:vAlign w:val="center"/>
          </w:tcPr>
          <w:p>
            <w:pPr>
              <w:spacing w:after="0"/>
            </w:pPr>
            <w:r>
              <w:rPr>
                <w:sz w:val="15"/>
              </w:rPr>
              <w:t>Audience composition, CPM, controversy risk, brand fit</w:t>
            </w:r>
          </w:p>
        </w:tc>
      </w:tr>
      <w:tr>
        <w:trPr>
          <w:cantSplit/>
        </w:trPr>
        <w:tc>
          <w:tcPr>
            <w:tcW w:type="dxa" w:w="2088"/>
            <w:tcMar>
              <w:top w:w="90" w:type="dxa"/>
              <w:start w:w="100" w:type="dxa"/>
              <w:bottom w:w="90" w:type="dxa"/>
              <w:end w:w="100" w:type="dxa"/>
            </w:tcMar>
            <w:vAlign w:val="center"/>
          </w:tcPr>
          <w:p>
            <w:pPr>
              <w:spacing w:after="0"/>
            </w:pPr>
            <w:r>
              <w:rPr>
                <w:sz w:val="15"/>
              </w:rPr>
              <w:t>Franchise ambition</w:t>
            </w:r>
          </w:p>
        </w:tc>
        <w:tc>
          <w:tcPr>
            <w:tcW w:type="dxa" w:w="3456"/>
            <w:tcMar>
              <w:top w:w="90" w:type="dxa"/>
              <w:start w:w="100" w:type="dxa"/>
              <w:bottom w:w="90" w:type="dxa"/>
              <w:end w:w="100" w:type="dxa"/>
            </w:tcMar>
            <w:vAlign w:val="center"/>
          </w:tcPr>
          <w:p>
            <w:pPr>
              <w:spacing w:after="0"/>
            </w:pPr>
            <w:r>
              <w:rPr>
                <w:sz w:val="15"/>
              </w:rPr>
              <w:t>Self-contained, expandable, spin-off capable, event-scale</w:t>
            </w:r>
          </w:p>
        </w:tc>
        <w:tc>
          <w:tcPr>
            <w:tcW w:type="dxa" w:w="4536"/>
            <w:tcMar>
              <w:top w:w="90" w:type="dxa"/>
              <w:start w:w="100" w:type="dxa"/>
              <w:bottom w:w="90" w:type="dxa"/>
              <w:end w:w="100" w:type="dxa"/>
            </w:tcMar>
            <w:vAlign w:val="center"/>
          </w:tcPr>
          <w:p>
            <w:pPr>
              <w:spacing w:after="0"/>
            </w:pPr>
            <w:r>
              <w:rPr>
                <w:sz w:val="15"/>
              </w:rPr>
              <w:t>Development cost, long-term value, creative pressure</w:t>
            </w:r>
          </w:p>
        </w:tc>
      </w:tr>
    </w:tbl>
    <w:p>
      <w:pPr>
        <w:spacing w:after="0"/>
      </w:pPr>
    </w:p>
    <w:p>
      <w:pPr>
        <w:pStyle w:val="Heading1"/>
      </w:pPr>
      <w:r>
        <w:t>8. Script Development System</w:t>
      </w:r>
    </w:p>
    <w:p>
      <w:r>
        <w:t>Content creation occurs in stages. The script stage translates the player’s concept into an actionable production blueprint. It introduces uncertainty: a good idea can produce a weak script, while a modest concept can be elevated by talented writers and strong development leadership.</w:t>
      </w:r>
    </w:p>
    <w:p>
      <w:pPr>
        <w:pStyle w:val="ListNumber"/>
      </w:pPr>
      <w:r>
        <w:t>Create the project brief: category, subtype, premise, tone, audience, format, narrative architecture, episode count, length, and intended daypart.</w:t>
      </w:r>
    </w:p>
    <w:p>
      <w:pPr>
        <w:pStyle w:val="ListNumber"/>
      </w:pPr>
      <w:r>
        <w:t>Assign a development producer or executive and one or more writers. Select whether to use in-house staff, freelancers, a showrunner, a production company, or a licensed format.</w:t>
      </w:r>
    </w:p>
    <w:p>
      <w:pPr>
        <w:pStyle w:val="ListNumber"/>
      </w:pPr>
      <w:r>
        <w:t>Choose development intensity: fast draft, standard room, premium development, pilot-first, or research-heavy. This is a process choice, not a quality slider.</w:t>
      </w:r>
    </w:p>
    <w:p>
      <w:pPr>
        <w:pStyle w:val="ListNumber"/>
      </w:pPr>
      <w:r>
        <w:t>Wait through development milestones. The team may request decisions, report risks, suggest cast types, or recommend a change in scope.</w:t>
      </w:r>
    </w:p>
    <w:p>
      <w:pPr>
        <w:pStyle w:val="ListNumber"/>
      </w:pPr>
      <w:r>
        <w:t>Receive the completed script package and decide whether to greenlight, revise, reassign, shelve, sell, or abandon it.</w:t>
      </w:r>
    </w:p>
    <w:p>
      <w:pPr>
        <w:pStyle w:val="Heading2"/>
      </w:pPr>
      <w:r>
        <w:t>8.1 Script output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592"/>
            <w:shd w:fill="1F4E79"/>
            <w:tcMar>
              <w:top w:w="90" w:type="dxa"/>
              <w:start w:w="100" w:type="dxa"/>
              <w:bottom w:w="90" w:type="dxa"/>
              <w:end w:w="100" w:type="dxa"/>
            </w:tcMar>
            <w:vAlign w:val="center"/>
          </w:tcPr>
          <w:p>
            <w:pPr>
              <w:jc w:val="center"/>
            </w:pPr>
            <w:r>
              <w:rPr>
                <w:b/>
                <w:color w:val="FFFFFF"/>
                <w:sz w:val="16"/>
              </w:rPr>
              <w:t>Script-package field</w:t>
            </w:r>
          </w:p>
        </w:tc>
        <w:tc>
          <w:tcPr>
            <w:tcW w:type="dxa" w:w="7488"/>
            <w:shd w:fill="1F4E79"/>
            <w:tcMar>
              <w:top w:w="90" w:type="dxa"/>
              <w:start w:w="100" w:type="dxa"/>
              <w:bottom w:w="90" w:type="dxa"/>
              <w:end w:w="100" w:type="dxa"/>
            </w:tcMar>
            <w:vAlign w:val="center"/>
          </w:tcPr>
          <w:p>
            <w:pPr>
              <w:jc w:val="center"/>
            </w:pPr>
            <w:r>
              <w:rPr>
                <w:b/>
                <w:color w:val="FFFFFF"/>
                <w:sz w:val="16"/>
              </w:rPr>
              <w:t>Meaning</w:t>
            </w:r>
          </w:p>
        </w:tc>
      </w:tr>
      <w:tr>
        <w:trPr>
          <w:cantSplit/>
        </w:trPr>
        <w:tc>
          <w:tcPr>
            <w:tcW w:type="dxa" w:w="2592"/>
            <w:tcMar>
              <w:top w:w="90" w:type="dxa"/>
              <w:start w:w="100" w:type="dxa"/>
              <w:bottom w:w="90" w:type="dxa"/>
              <w:end w:w="100" w:type="dxa"/>
            </w:tcMar>
            <w:vAlign w:val="center"/>
          </w:tcPr>
          <w:p>
            <w:pPr>
              <w:spacing w:after="0"/>
            </w:pPr>
            <w:r>
              <w:rPr>
                <w:sz w:val="16"/>
              </w:rPr>
              <w:t>Overall script quality: 1–5</w:t>
            </w:r>
          </w:p>
        </w:tc>
        <w:tc>
          <w:tcPr>
            <w:tcW w:type="dxa" w:w="7488"/>
            <w:tcMar>
              <w:top w:w="90" w:type="dxa"/>
              <w:start w:w="100" w:type="dxa"/>
              <w:bottom w:w="90" w:type="dxa"/>
              <w:end w:w="100" w:type="dxa"/>
            </w:tcMar>
            <w:vAlign w:val="center"/>
          </w:tcPr>
          <w:p>
            <w:pPr>
              <w:spacing w:after="0"/>
            </w:pPr>
            <w:r>
              <w:rPr>
                <w:sz w:val="16"/>
              </w:rPr>
              <w:t>A compact visible rating derived from concept fit, writing skill, time, collaboration, research, and luck.</w:t>
            </w:r>
          </w:p>
        </w:tc>
      </w:tr>
      <w:tr>
        <w:trPr>
          <w:cantSplit/>
        </w:trPr>
        <w:tc>
          <w:tcPr>
            <w:tcW w:type="dxa" w:w="2592"/>
            <w:tcMar>
              <w:top w:w="90" w:type="dxa"/>
              <w:start w:w="100" w:type="dxa"/>
              <w:bottom w:w="90" w:type="dxa"/>
              <w:end w:w="100" w:type="dxa"/>
            </w:tcMar>
            <w:vAlign w:val="center"/>
          </w:tcPr>
          <w:p>
            <w:pPr>
              <w:spacing w:after="0"/>
            </w:pPr>
            <w:r>
              <w:rPr>
                <w:sz w:val="16"/>
              </w:rPr>
              <w:t>Episode consistency</w:t>
            </w:r>
          </w:p>
        </w:tc>
        <w:tc>
          <w:tcPr>
            <w:tcW w:type="dxa" w:w="7488"/>
            <w:tcMar>
              <w:top w:w="90" w:type="dxa"/>
              <w:start w:w="100" w:type="dxa"/>
              <w:bottom w:w="90" w:type="dxa"/>
              <w:end w:w="100" w:type="dxa"/>
            </w:tcMar>
            <w:vAlign w:val="center"/>
          </w:tcPr>
          <w:p>
            <w:pPr>
              <w:spacing w:after="0"/>
            </w:pPr>
            <w:r>
              <w:rPr>
                <w:sz w:val="16"/>
              </w:rPr>
              <w:t>Whether the project has one strong pilot, a stable season, or uneven installments.</w:t>
            </w:r>
          </w:p>
        </w:tc>
      </w:tr>
      <w:tr>
        <w:trPr>
          <w:cantSplit/>
        </w:trPr>
        <w:tc>
          <w:tcPr>
            <w:tcW w:type="dxa" w:w="2592"/>
            <w:tcMar>
              <w:top w:w="90" w:type="dxa"/>
              <w:start w:w="100" w:type="dxa"/>
              <w:bottom w:w="90" w:type="dxa"/>
              <w:end w:w="100" w:type="dxa"/>
            </w:tcMar>
            <w:vAlign w:val="center"/>
          </w:tcPr>
          <w:p>
            <w:pPr>
              <w:spacing w:after="0"/>
            </w:pPr>
            <w:r>
              <w:rPr>
                <w:sz w:val="16"/>
              </w:rPr>
              <w:t>Role blueprint</w:t>
            </w:r>
          </w:p>
        </w:tc>
        <w:tc>
          <w:tcPr>
            <w:tcW w:type="dxa" w:w="7488"/>
            <w:tcMar>
              <w:top w:w="90" w:type="dxa"/>
              <w:start w:w="100" w:type="dxa"/>
              <w:bottom w:w="90" w:type="dxa"/>
              <w:end w:w="100" w:type="dxa"/>
            </w:tcMar>
            <w:vAlign w:val="center"/>
          </w:tcPr>
          <w:p>
            <w:pPr>
              <w:spacing w:after="0"/>
            </w:pPr>
            <w:r>
              <w:rPr>
                <w:sz w:val="16"/>
              </w:rPr>
              <w:t>Number and importance of lead, primary, secondary, recurring, guest, host, narrator, expert, and ensemble roles.</w:t>
            </w:r>
          </w:p>
        </w:tc>
      </w:tr>
      <w:tr>
        <w:trPr>
          <w:cantSplit/>
        </w:trPr>
        <w:tc>
          <w:tcPr>
            <w:tcW w:type="dxa" w:w="2592"/>
            <w:tcMar>
              <w:top w:w="90" w:type="dxa"/>
              <w:start w:w="100" w:type="dxa"/>
              <w:bottom w:w="90" w:type="dxa"/>
              <w:end w:w="100" w:type="dxa"/>
            </w:tcMar>
            <w:vAlign w:val="center"/>
          </w:tcPr>
          <w:p>
            <w:pPr>
              <w:spacing w:after="0"/>
            </w:pPr>
            <w:r>
              <w:rPr>
                <w:sz w:val="16"/>
              </w:rPr>
              <w:t>Production blueprint</w:t>
            </w:r>
          </w:p>
        </w:tc>
        <w:tc>
          <w:tcPr>
            <w:tcW w:type="dxa" w:w="7488"/>
            <w:tcMar>
              <w:top w:w="90" w:type="dxa"/>
              <w:start w:w="100" w:type="dxa"/>
              <w:bottom w:w="90" w:type="dxa"/>
              <w:end w:w="100" w:type="dxa"/>
            </w:tcMar>
            <w:vAlign w:val="center"/>
          </w:tcPr>
          <w:p>
            <w:pPr>
              <w:spacing w:after="0"/>
            </w:pPr>
            <w:r>
              <w:rPr>
                <w:sz w:val="16"/>
              </w:rPr>
              <w:t>Recommended sets, locations, wardrobe, music, practical effects, VFX/CGX, stunts, archive, travel, animals, live audience, and technical requirements.</w:t>
            </w:r>
          </w:p>
        </w:tc>
      </w:tr>
      <w:tr>
        <w:trPr>
          <w:cantSplit/>
        </w:trPr>
        <w:tc>
          <w:tcPr>
            <w:tcW w:type="dxa" w:w="2592"/>
            <w:tcMar>
              <w:top w:w="90" w:type="dxa"/>
              <w:start w:w="100" w:type="dxa"/>
              <w:bottom w:w="90" w:type="dxa"/>
              <w:end w:w="100" w:type="dxa"/>
            </w:tcMar>
            <w:vAlign w:val="center"/>
          </w:tcPr>
          <w:p>
            <w:pPr>
              <w:spacing w:after="0"/>
            </w:pPr>
            <w:r>
              <w:rPr>
                <w:sz w:val="16"/>
              </w:rPr>
              <w:t>Creative identity</w:t>
            </w:r>
          </w:p>
        </w:tc>
        <w:tc>
          <w:tcPr>
            <w:tcW w:type="dxa" w:w="7488"/>
            <w:tcMar>
              <w:top w:w="90" w:type="dxa"/>
              <w:start w:w="100" w:type="dxa"/>
              <w:bottom w:w="90" w:type="dxa"/>
              <w:end w:w="100" w:type="dxa"/>
            </w:tcMar>
            <w:vAlign w:val="center"/>
          </w:tcPr>
          <w:p>
            <w:pPr>
              <w:spacing w:after="0"/>
            </w:pPr>
            <w:r>
              <w:rPr>
                <w:sz w:val="16"/>
              </w:rPr>
              <w:t>Themes, pacing, visual references, tonal descriptors, audience promise, and recognizable icon/color suggestions.</w:t>
            </w:r>
          </w:p>
        </w:tc>
      </w:tr>
      <w:tr>
        <w:trPr>
          <w:cantSplit/>
        </w:trPr>
        <w:tc>
          <w:tcPr>
            <w:tcW w:type="dxa" w:w="2592"/>
            <w:tcMar>
              <w:top w:w="90" w:type="dxa"/>
              <w:start w:w="100" w:type="dxa"/>
              <w:bottom w:w="90" w:type="dxa"/>
              <w:end w:w="100" w:type="dxa"/>
            </w:tcMar>
            <w:vAlign w:val="center"/>
          </w:tcPr>
          <w:p>
            <w:pPr>
              <w:spacing w:after="0"/>
            </w:pPr>
            <w:r>
              <w:rPr>
                <w:sz w:val="16"/>
              </w:rPr>
              <w:t>Risk report</w:t>
            </w:r>
          </w:p>
        </w:tc>
        <w:tc>
          <w:tcPr>
            <w:tcW w:type="dxa" w:w="7488"/>
            <w:tcMar>
              <w:top w:w="90" w:type="dxa"/>
              <w:start w:w="100" w:type="dxa"/>
              <w:bottom w:w="90" w:type="dxa"/>
              <w:end w:w="100" w:type="dxa"/>
            </w:tcMar>
            <w:vAlign w:val="center"/>
          </w:tcPr>
          <w:p>
            <w:pPr>
              <w:spacing w:after="0"/>
            </w:pPr>
            <w:r>
              <w:rPr>
                <w:sz w:val="16"/>
              </w:rPr>
              <w:t>Complexity, cost volatility, controversy, casting difficulty, schedule risk, safety, legal review, and audience accessibility.</w:t>
            </w:r>
          </w:p>
        </w:tc>
      </w:tr>
      <w:tr>
        <w:trPr>
          <w:cantSplit/>
        </w:trPr>
        <w:tc>
          <w:tcPr>
            <w:tcW w:type="dxa" w:w="2592"/>
            <w:tcMar>
              <w:top w:w="90" w:type="dxa"/>
              <w:start w:w="100" w:type="dxa"/>
              <w:bottom w:w="90" w:type="dxa"/>
              <w:end w:w="100" w:type="dxa"/>
            </w:tcMar>
            <w:vAlign w:val="center"/>
          </w:tcPr>
          <w:p>
            <w:pPr>
              <w:spacing w:after="0"/>
            </w:pPr>
            <w:r>
              <w:rPr>
                <w:sz w:val="16"/>
              </w:rPr>
              <w:t>Forecast ranges</w:t>
            </w:r>
          </w:p>
        </w:tc>
        <w:tc>
          <w:tcPr>
            <w:tcW w:type="dxa" w:w="7488"/>
            <w:tcMar>
              <w:top w:w="90" w:type="dxa"/>
              <w:start w:w="100" w:type="dxa"/>
              <w:bottom w:w="90" w:type="dxa"/>
              <w:end w:w="100" w:type="dxa"/>
            </w:tcMar>
            <w:vAlign w:val="center"/>
          </w:tcPr>
          <w:p>
            <w:pPr>
              <w:spacing w:after="0"/>
            </w:pPr>
            <w:r>
              <w:rPr>
                <w:sz w:val="16"/>
              </w:rPr>
              <w:t>Expected quality, audience fit, critical potential, retention, rerun value, international appeal, and commercial risk—not guaranteed outcomes.</w:t>
            </w:r>
          </w:p>
        </w:tc>
      </w:tr>
    </w:tbl>
    <w:p>
      <w:pPr>
        <w:spacing w:after="0"/>
      </w:pPr>
    </w:p>
    <w:p>
      <w:pPr>
        <w:pStyle w:val="Heading2"/>
      </w:pPr>
      <w:r>
        <w:t>8.2 Script quality model</w:t>
      </w:r>
    </w:p>
    <w:p>
      <w:r>
        <w:t>The 1–5 visible score is not a direct predictor of ratings. It represents the quality and production-readiness of the writing package. A 5-star niche historical drama may attract fewer viewers than a 3-star family contest, but it has a better chance to achieve its creative promise.</w:t>
      </w:r>
    </w:p>
    <w:p>
      <w:pPr>
        <w:pStyle w:val="ListBullet"/>
      </w:pPr>
      <w:r>
        <w:t>Writer and showrunner skill by relevant subtype and narrative architecture.</w:t>
      </w:r>
    </w:p>
    <w:p>
      <w:pPr>
        <w:pStyle w:val="ListBullet"/>
      </w:pPr>
      <w:r>
        <w:t>Concept originality and coherence versus market saturation.</w:t>
      </w:r>
    </w:p>
    <w:p>
      <w:pPr>
        <w:pStyle w:val="ListBullet"/>
      </w:pPr>
      <w:r>
        <w:t>Time and development process: rushed, standard, extended, researched, tested, rewritten.</w:t>
      </w:r>
    </w:p>
    <w:p>
      <w:pPr>
        <w:pStyle w:val="ListBullet"/>
      </w:pPr>
      <w:r>
        <w:t>Compatibility and chemistry among writers, producer, and network development team.</w:t>
      </w:r>
    </w:p>
    <w:p>
      <w:pPr>
        <w:pStyle w:val="ListBullet"/>
      </w:pPr>
      <w:r>
        <w:t>Institutional specialization, research unlocks, facilities, and prior experience.</w:t>
      </w:r>
    </w:p>
    <w:p>
      <w:pPr>
        <w:pStyle w:val="ListBullet"/>
      </w:pPr>
      <w:r>
        <w:t>Creative compromises introduced by budget, censorship, sponsor demands, or executive notes.</w:t>
      </w:r>
    </w:p>
    <w:p>
      <w:pPr>
        <w:pStyle w:val="Heading1"/>
      </w:pPr>
      <w:r>
        <w:t>9. Production System</w:t>
      </w:r>
    </w:p>
    <w:p>
      <w:r>
        <w:t>Once a script package is approved, the player builds the production. Cost is generated by the chosen production design, people, duration, and operational context. The player can follow recommendations, overinvest in selected dimensions, simplify the concept, or deliberately make a low-cost version.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6"/>
              </w:rPr>
              <w:t>Production area</w:t>
            </w:r>
          </w:p>
        </w:tc>
        <w:tc>
          <w:tcPr>
            <w:tcW w:type="dxa" w:w="7848"/>
            <w:shd w:fill="1F4E79"/>
            <w:tcMar>
              <w:top w:w="90" w:type="dxa"/>
              <w:start w:w="100" w:type="dxa"/>
              <w:bottom w:w="90" w:type="dxa"/>
              <w:end w:w="100" w:type="dxa"/>
            </w:tcMar>
            <w:vAlign w:val="center"/>
          </w:tcPr>
          <w:p>
            <w:pPr>
              <w:jc w:val="center"/>
            </w:pPr>
            <w:r>
              <w:rPr>
                <w:b/>
                <w:color w:val="FFFFFF"/>
                <w:sz w:val="16"/>
              </w:rPr>
              <w:t>Decisions</w:t>
            </w:r>
          </w:p>
        </w:tc>
      </w:tr>
      <w:tr>
        <w:trPr>
          <w:cantSplit/>
        </w:trPr>
        <w:tc>
          <w:tcPr>
            <w:tcW w:type="dxa" w:w="2232"/>
            <w:tcMar>
              <w:top w:w="90" w:type="dxa"/>
              <w:start w:w="100" w:type="dxa"/>
              <w:bottom w:w="90" w:type="dxa"/>
              <w:end w:w="100" w:type="dxa"/>
            </w:tcMar>
            <w:vAlign w:val="center"/>
          </w:tcPr>
          <w:p>
            <w:pPr>
              <w:spacing w:after="0"/>
            </w:pPr>
            <w:r>
              <w:rPr>
                <w:sz w:val="16"/>
              </w:rPr>
              <w:t>Leadership</w:t>
            </w:r>
          </w:p>
        </w:tc>
        <w:tc>
          <w:tcPr>
            <w:tcW w:type="dxa" w:w="7848"/>
            <w:tcMar>
              <w:top w:w="90" w:type="dxa"/>
              <w:start w:w="100" w:type="dxa"/>
              <w:bottom w:w="90" w:type="dxa"/>
              <w:end w:w="100" w:type="dxa"/>
            </w:tcMar>
            <w:vAlign w:val="center"/>
          </w:tcPr>
          <w:p>
            <w:pPr>
              <w:spacing w:after="0"/>
            </w:pPr>
            <w:r>
              <w:rPr>
                <w:sz w:val="16"/>
              </w:rPr>
              <w:t>Producer, showrunner, director or directing team, line producer, department heads.</w:t>
            </w:r>
          </w:p>
        </w:tc>
      </w:tr>
      <w:tr>
        <w:trPr>
          <w:cantSplit/>
        </w:trPr>
        <w:tc>
          <w:tcPr>
            <w:tcW w:type="dxa" w:w="2232"/>
            <w:tcMar>
              <w:top w:w="90" w:type="dxa"/>
              <w:start w:w="100" w:type="dxa"/>
              <w:bottom w:w="90" w:type="dxa"/>
              <w:end w:w="100" w:type="dxa"/>
            </w:tcMar>
            <w:vAlign w:val="center"/>
          </w:tcPr>
          <w:p>
            <w:pPr>
              <w:spacing w:after="0"/>
            </w:pPr>
            <w:r>
              <w:rPr>
                <w:sz w:val="16"/>
              </w:rPr>
              <w:t>Cast and presenters</w:t>
            </w:r>
          </w:p>
        </w:tc>
        <w:tc>
          <w:tcPr>
            <w:tcW w:type="dxa" w:w="7848"/>
            <w:tcMar>
              <w:top w:w="90" w:type="dxa"/>
              <w:start w:w="100" w:type="dxa"/>
              <w:bottom w:w="90" w:type="dxa"/>
              <w:end w:w="100" w:type="dxa"/>
            </w:tcMar>
            <w:vAlign w:val="center"/>
          </w:tcPr>
          <w:p>
            <w:pPr>
              <w:spacing w:after="0"/>
            </w:pPr>
            <w:r>
              <w:rPr>
                <w:sz w:val="16"/>
              </w:rPr>
              <w:t>Leads, co-leads, ensemble, recurring, host, co-host, anchor, experts, narrator, voice talent, contestants.</w:t>
            </w:r>
          </w:p>
        </w:tc>
      </w:tr>
      <w:tr>
        <w:trPr>
          <w:cantSplit/>
        </w:trPr>
        <w:tc>
          <w:tcPr>
            <w:tcW w:type="dxa" w:w="2232"/>
            <w:tcMar>
              <w:top w:w="90" w:type="dxa"/>
              <w:start w:w="100" w:type="dxa"/>
              <w:bottom w:w="90" w:type="dxa"/>
              <w:end w:w="100" w:type="dxa"/>
            </w:tcMar>
            <w:vAlign w:val="center"/>
          </w:tcPr>
          <w:p>
            <w:pPr>
              <w:spacing w:after="0"/>
            </w:pPr>
            <w:r>
              <w:rPr>
                <w:sz w:val="16"/>
              </w:rPr>
              <w:t>Visual production</w:t>
            </w:r>
          </w:p>
        </w:tc>
        <w:tc>
          <w:tcPr>
            <w:tcW w:type="dxa" w:w="7848"/>
            <w:tcMar>
              <w:top w:w="90" w:type="dxa"/>
              <w:start w:w="100" w:type="dxa"/>
              <w:bottom w:w="90" w:type="dxa"/>
              <w:end w:w="100" w:type="dxa"/>
            </w:tcMar>
            <w:vAlign w:val="center"/>
          </w:tcPr>
          <w:p>
            <w:pPr>
              <w:spacing w:after="0"/>
            </w:pPr>
            <w:r>
              <w:rPr>
                <w:sz w:val="16"/>
              </w:rPr>
              <w:t>Sets, locations, wardrobe, makeup, props, cinematography, lighting, animation, practical effects, VFX/CGX.</w:t>
            </w:r>
          </w:p>
        </w:tc>
      </w:tr>
      <w:tr>
        <w:trPr>
          <w:cantSplit/>
        </w:trPr>
        <w:tc>
          <w:tcPr>
            <w:tcW w:type="dxa" w:w="2232"/>
            <w:tcMar>
              <w:top w:w="90" w:type="dxa"/>
              <w:start w:w="100" w:type="dxa"/>
              <w:bottom w:w="90" w:type="dxa"/>
              <w:end w:w="100" w:type="dxa"/>
            </w:tcMar>
            <w:vAlign w:val="center"/>
          </w:tcPr>
          <w:p>
            <w:pPr>
              <w:spacing w:after="0"/>
            </w:pPr>
            <w:r>
              <w:rPr>
                <w:sz w:val="16"/>
              </w:rPr>
              <w:t>Sound and music</w:t>
            </w:r>
          </w:p>
        </w:tc>
        <w:tc>
          <w:tcPr>
            <w:tcW w:type="dxa" w:w="7848"/>
            <w:tcMar>
              <w:top w:w="90" w:type="dxa"/>
              <w:start w:w="100" w:type="dxa"/>
              <w:bottom w:w="90" w:type="dxa"/>
              <w:end w:w="100" w:type="dxa"/>
            </w:tcMar>
            <w:vAlign w:val="center"/>
          </w:tcPr>
          <w:p>
            <w:pPr>
              <w:spacing w:after="0"/>
            </w:pPr>
            <w:r>
              <w:rPr>
                <w:sz w:val="16"/>
              </w:rPr>
              <w:t>Composer, licensed music, original score, live band, sound design, mixing.</w:t>
            </w:r>
          </w:p>
        </w:tc>
      </w:tr>
      <w:tr>
        <w:trPr>
          <w:cantSplit/>
        </w:trPr>
        <w:tc>
          <w:tcPr>
            <w:tcW w:type="dxa" w:w="2232"/>
            <w:tcMar>
              <w:top w:w="90" w:type="dxa"/>
              <w:start w:w="100" w:type="dxa"/>
              <w:bottom w:w="90" w:type="dxa"/>
              <w:end w:w="100" w:type="dxa"/>
            </w:tcMar>
            <w:vAlign w:val="center"/>
          </w:tcPr>
          <w:p>
            <w:pPr>
              <w:spacing w:after="0"/>
            </w:pPr>
            <w:r>
              <w:rPr>
                <w:sz w:val="16"/>
              </w:rPr>
              <w:t>Operational design</w:t>
            </w:r>
          </w:p>
        </w:tc>
        <w:tc>
          <w:tcPr>
            <w:tcW w:type="dxa" w:w="7848"/>
            <w:tcMar>
              <w:top w:w="90" w:type="dxa"/>
              <w:start w:w="100" w:type="dxa"/>
              <w:bottom w:w="90" w:type="dxa"/>
              <w:end w:w="100" w:type="dxa"/>
            </w:tcMar>
            <w:vAlign w:val="center"/>
          </w:tcPr>
          <w:p>
            <w:pPr>
              <w:spacing w:after="0"/>
            </w:pPr>
            <w:r>
              <w:rPr>
                <w:sz w:val="16"/>
              </w:rPr>
              <w:t>Episode block size, rehearsal, shooting days, live vs recorded, travel, safety, editing, post-production, delivery buffer.</w:t>
            </w:r>
          </w:p>
        </w:tc>
      </w:tr>
      <w:tr>
        <w:trPr>
          <w:cantSplit/>
        </w:trPr>
        <w:tc>
          <w:tcPr>
            <w:tcW w:type="dxa" w:w="2232"/>
            <w:tcMar>
              <w:top w:w="90" w:type="dxa"/>
              <w:start w:w="100" w:type="dxa"/>
              <w:bottom w:w="90" w:type="dxa"/>
              <w:end w:w="100" w:type="dxa"/>
            </w:tcMar>
            <w:vAlign w:val="center"/>
          </w:tcPr>
          <w:p>
            <w:pPr>
              <w:spacing w:after="0"/>
            </w:pPr>
            <w:r>
              <w:rPr>
                <w:sz w:val="16"/>
              </w:rPr>
              <w:t>Commercial constraints</w:t>
            </w:r>
          </w:p>
        </w:tc>
        <w:tc>
          <w:tcPr>
            <w:tcW w:type="dxa" w:w="7848"/>
            <w:tcMar>
              <w:top w:w="90" w:type="dxa"/>
              <w:start w:w="100" w:type="dxa"/>
              <w:bottom w:w="90" w:type="dxa"/>
              <w:end w:w="100" w:type="dxa"/>
            </w:tcMar>
            <w:vAlign w:val="center"/>
          </w:tcPr>
          <w:p>
            <w:pPr>
              <w:spacing w:after="0"/>
            </w:pPr>
            <w:r>
              <w:rPr>
                <w:sz w:val="16"/>
              </w:rPr>
              <w:t>Sponsor integration, product placement, standards, target rating, language versions, international deliverables.</w:t>
            </w:r>
          </w:p>
        </w:tc>
      </w:tr>
    </w:tbl>
    <w:p>
      <w:pPr>
        <w:spacing w:after="0"/>
      </w:pPr>
    </w:p>
    <w:p>
      <w:pPr>
        <w:pStyle w:val="Heading2"/>
      </w:pPr>
      <w:r>
        <w:t>9.1 Cost is decision-driven</w:t>
      </w:r>
    </w:p>
    <w:p>
      <w:r>
        <w:t>A medieval drama is expensive because the script requires large historical sets, custom wardrobe, horses, stunts, extras, location travel, score, and visual effects—not because the player moved a “budget” slider. The player can reduce cost by rewriting battles, using fewer locations, simplifying wardrobe, changing the story, using virtual production after researching it, or accepting lower production values.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cantSplit/>
        </w:trPr>
        <w:tc>
          <w:tcPr>
            <w:tcW w:type="dxa" w:w="1800"/>
            <w:shd w:fill="1F4E79"/>
            <w:tcMar>
              <w:top w:w="90" w:type="dxa"/>
              <w:start w:w="100" w:type="dxa"/>
              <w:bottom w:w="90" w:type="dxa"/>
              <w:end w:w="100" w:type="dxa"/>
            </w:tcMar>
            <w:vAlign w:val="center"/>
          </w:tcPr>
          <w:p>
            <w:pPr>
              <w:jc w:val="center"/>
            </w:pPr>
            <w:r>
              <w:rPr>
                <w:b/>
                <w:color w:val="FFFFFF"/>
                <w:sz w:val="15"/>
              </w:rPr>
              <w:t>Decision</w:t>
            </w:r>
          </w:p>
        </w:tc>
        <w:tc>
          <w:tcPr>
            <w:tcW w:type="dxa" w:w="2232"/>
            <w:shd w:fill="1F4E79"/>
            <w:tcMar>
              <w:top w:w="90" w:type="dxa"/>
              <w:start w:w="100" w:type="dxa"/>
              <w:bottom w:w="90" w:type="dxa"/>
              <w:end w:w="100" w:type="dxa"/>
            </w:tcMar>
            <w:vAlign w:val="center"/>
          </w:tcPr>
          <w:p>
            <w:pPr>
              <w:jc w:val="center"/>
            </w:pPr>
            <w:r>
              <w:rPr>
                <w:b/>
                <w:color w:val="FFFFFF"/>
                <w:sz w:val="15"/>
              </w:rPr>
              <w:t>Low-cost choice</w:t>
            </w:r>
          </w:p>
        </w:tc>
        <w:tc>
          <w:tcPr>
            <w:tcW w:type="dxa" w:w="2376"/>
            <w:shd w:fill="1F4E79"/>
            <w:tcMar>
              <w:top w:w="90" w:type="dxa"/>
              <w:start w:w="100" w:type="dxa"/>
              <w:bottom w:w="90" w:type="dxa"/>
              <w:end w:w="100" w:type="dxa"/>
            </w:tcMar>
            <w:vAlign w:val="center"/>
          </w:tcPr>
          <w:p>
            <w:pPr>
              <w:jc w:val="center"/>
            </w:pPr>
            <w:r>
              <w:rPr>
                <w:b/>
                <w:color w:val="FFFFFF"/>
                <w:sz w:val="15"/>
              </w:rPr>
              <w:t>Premium choice</w:t>
            </w:r>
          </w:p>
        </w:tc>
        <w:tc>
          <w:tcPr>
            <w:tcW w:type="dxa" w:w="3672"/>
            <w:shd w:fill="1F4E79"/>
            <w:tcMar>
              <w:top w:w="90" w:type="dxa"/>
              <w:start w:w="100" w:type="dxa"/>
              <w:bottom w:w="90" w:type="dxa"/>
              <w:end w:w="100" w:type="dxa"/>
            </w:tcMar>
            <w:vAlign w:val="center"/>
          </w:tcPr>
          <w:p>
            <w:pPr>
              <w:jc w:val="center"/>
            </w:pPr>
            <w:r>
              <w:rPr>
                <w:b/>
                <w:color w:val="FFFFFF"/>
                <w:sz w:val="15"/>
              </w:rPr>
              <w:t>Trade-off</w:t>
            </w:r>
          </w:p>
        </w:tc>
      </w:tr>
      <w:tr>
        <w:trPr>
          <w:cantSplit/>
        </w:trPr>
        <w:tc>
          <w:tcPr>
            <w:tcW w:type="dxa" w:w="1800"/>
            <w:tcMar>
              <w:top w:w="90" w:type="dxa"/>
              <w:start w:w="100" w:type="dxa"/>
              <w:bottom w:w="90" w:type="dxa"/>
              <w:end w:w="100" w:type="dxa"/>
            </w:tcMar>
            <w:vAlign w:val="center"/>
          </w:tcPr>
          <w:p>
            <w:pPr>
              <w:spacing w:after="0"/>
            </w:pPr>
            <w:r>
              <w:rPr>
                <w:sz w:val="15"/>
              </w:rPr>
              <w:t>Music</w:t>
            </w:r>
          </w:p>
        </w:tc>
        <w:tc>
          <w:tcPr>
            <w:tcW w:type="dxa" w:w="2232"/>
            <w:tcMar>
              <w:top w:w="90" w:type="dxa"/>
              <w:start w:w="100" w:type="dxa"/>
              <w:bottom w:w="90" w:type="dxa"/>
              <w:end w:w="100" w:type="dxa"/>
            </w:tcMar>
            <w:vAlign w:val="center"/>
          </w:tcPr>
          <w:p>
            <w:pPr>
              <w:spacing w:after="0"/>
            </w:pPr>
            <w:r>
              <w:rPr>
                <w:sz w:val="15"/>
              </w:rPr>
              <w:t>Library music / minimal score</w:t>
            </w:r>
          </w:p>
        </w:tc>
        <w:tc>
          <w:tcPr>
            <w:tcW w:type="dxa" w:w="2376"/>
            <w:tcMar>
              <w:top w:w="90" w:type="dxa"/>
              <w:start w:w="100" w:type="dxa"/>
              <w:bottom w:w="90" w:type="dxa"/>
              <w:end w:w="100" w:type="dxa"/>
            </w:tcMar>
            <w:vAlign w:val="center"/>
          </w:tcPr>
          <w:p>
            <w:pPr>
              <w:spacing w:after="0"/>
            </w:pPr>
            <w:r>
              <w:rPr>
                <w:sz w:val="15"/>
              </w:rPr>
              <w:t>Original composer, orchestra, licensed tracks</w:t>
            </w:r>
          </w:p>
        </w:tc>
        <w:tc>
          <w:tcPr>
            <w:tcW w:type="dxa" w:w="3672"/>
            <w:tcMar>
              <w:top w:w="90" w:type="dxa"/>
              <w:start w:w="100" w:type="dxa"/>
              <w:bottom w:w="90" w:type="dxa"/>
              <w:end w:w="100" w:type="dxa"/>
            </w:tcMar>
            <w:vAlign w:val="center"/>
          </w:tcPr>
          <w:p>
            <w:pPr>
              <w:spacing w:after="0"/>
            </w:pPr>
            <w:r>
              <w:rPr>
                <w:sz w:val="15"/>
              </w:rPr>
              <w:t>Identity and emotion vs recurring cost</w:t>
            </w:r>
          </w:p>
        </w:tc>
      </w:tr>
      <w:tr>
        <w:trPr>
          <w:cantSplit/>
        </w:trPr>
        <w:tc>
          <w:tcPr>
            <w:tcW w:type="dxa" w:w="1800"/>
            <w:tcMar>
              <w:top w:w="90" w:type="dxa"/>
              <w:start w:w="100" w:type="dxa"/>
              <w:bottom w:w="90" w:type="dxa"/>
              <w:end w:w="100" w:type="dxa"/>
            </w:tcMar>
            <w:vAlign w:val="center"/>
          </w:tcPr>
          <w:p>
            <w:pPr>
              <w:spacing w:after="0"/>
            </w:pPr>
            <w:r>
              <w:rPr>
                <w:sz w:val="15"/>
              </w:rPr>
              <w:t>VFX/CGX</w:t>
            </w:r>
          </w:p>
        </w:tc>
        <w:tc>
          <w:tcPr>
            <w:tcW w:type="dxa" w:w="2232"/>
            <w:tcMar>
              <w:top w:w="90" w:type="dxa"/>
              <w:start w:w="100" w:type="dxa"/>
              <w:bottom w:w="90" w:type="dxa"/>
              <w:end w:w="100" w:type="dxa"/>
            </w:tcMar>
            <w:vAlign w:val="center"/>
          </w:tcPr>
          <w:p>
            <w:pPr>
              <w:spacing w:after="0"/>
            </w:pPr>
            <w:r>
              <w:rPr>
                <w:sz w:val="15"/>
              </w:rPr>
              <w:t>Limited shots; practical staging</w:t>
            </w:r>
          </w:p>
        </w:tc>
        <w:tc>
          <w:tcPr>
            <w:tcW w:type="dxa" w:w="2376"/>
            <w:tcMar>
              <w:top w:w="90" w:type="dxa"/>
              <w:start w:w="100" w:type="dxa"/>
              <w:bottom w:w="90" w:type="dxa"/>
              <w:end w:w="100" w:type="dxa"/>
            </w:tcMar>
            <w:vAlign w:val="center"/>
          </w:tcPr>
          <w:p>
            <w:pPr>
              <w:spacing w:after="0"/>
            </w:pPr>
            <w:r>
              <w:rPr>
                <w:sz w:val="15"/>
              </w:rPr>
              <w:t>Heavy digital environments and effects</w:t>
            </w:r>
          </w:p>
        </w:tc>
        <w:tc>
          <w:tcPr>
            <w:tcW w:type="dxa" w:w="3672"/>
            <w:tcMar>
              <w:top w:w="90" w:type="dxa"/>
              <w:start w:w="100" w:type="dxa"/>
              <w:bottom w:w="90" w:type="dxa"/>
              <w:end w:w="100" w:type="dxa"/>
            </w:tcMar>
            <w:vAlign w:val="center"/>
          </w:tcPr>
          <w:p>
            <w:pPr>
              <w:spacing w:after="0"/>
            </w:pPr>
            <w:r>
              <w:rPr>
                <w:sz w:val="15"/>
              </w:rPr>
              <w:t>Spectacle vs time, risk, capability</w:t>
            </w:r>
          </w:p>
        </w:tc>
      </w:tr>
      <w:tr>
        <w:trPr>
          <w:cantSplit/>
        </w:trPr>
        <w:tc>
          <w:tcPr>
            <w:tcW w:type="dxa" w:w="1800"/>
            <w:tcMar>
              <w:top w:w="90" w:type="dxa"/>
              <w:start w:w="100" w:type="dxa"/>
              <w:bottom w:w="90" w:type="dxa"/>
              <w:end w:w="100" w:type="dxa"/>
            </w:tcMar>
            <w:vAlign w:val="center"/>
          </w:tcPr>
          <w:p>
            <w:pPr>
              <w:spacing w:after="0"/>
            </w:pPr>
            <w:r>
              <w:rPr>
                <w:sz w:val="15"/>
              </w:rPr>
              <w:t>Sets</w:t>
            </w:r>
          </w:p>
        </w:tc>
        <w:tc>
          <w:tcPr>
            <w:tcW w:type="dxa" w:w="2232"/>
            <w:tcMar>
              <w:top w:w="90" w:type="dxa"/>
              <w:start w:w="100" w:type="dxa"/>
              <w:bottom w:w="90" w:type="dxa"/>
              <w:end w:w="100" w:type="dxa"/>
            </w:tcMar>
            <w:vAlign w:val="center"/>
          </w:tcPr>
          <w:p>
            <w:pPr>
              <w:spacing w:after="0"/>
            </w:pPr>
            <w:r>
              <w:rPr>
                <w:sz w:val="15"/>
              </w:rPr>
              <w:t>Reusable studio set</w:t>
            </w:r>
          </w:p>
        </w:tc>
        <w:tc>
          <w:tcPr>
            <w:tcW w:type="dxa" w:w="2376"/>
            <w:tcMar>
              <w:top w:w="90" w:type="dxa"/>
              <w:start w:w="100" w:type="dxa"/>
              <w:bottom w:w="90" w:type="dxa"/>
              <w:end w:w="100" w:type="dxa"/>
            </w:tcMar>
            <w:vAlign w:val="center"/>
          </w:tcPr>
          <w:p>
            <w:pPr>
              <w:spacing w:after="0"/>
            </w:pPr>
            <w:r>
              <w:rPr>
                <w:sz w:val="15"/>
              </w:rPr>
              <w:t>Multiple bespoke sets / backlot</w:t>
            </w:r>
          </w:p>
        </w:tc>
        <w:tc>
          <w:tcPr>
            <w:tcW w:type="dxa" w:w="3672"/>
            <w:tcMar>
              <w:top w:w="90" w:type="dxa"/>
              <w:start w:w="100" w:type="dxa"/>
              <w:bottom w:w="90" w:type="dxa"/>
              <w:end w:w="100" w:type="dxa"/>
            </w:tcMar>
            <w:vAlign w:val="center"/>
          </w:tcPr>
          <w:p>
            <w:pPr>
              <w:spacing w:after="0"/>
            </w:pPr>
            <w:r>
              <w:rPr>
                <w:sz w:val="15"/>
              </w:rPr>
              <w:t>Consistency and control vs variety</w:t>
            </w:r>
          </w:p>
        </w:tc>
      </w:tr>
      <w:tr>
        <w:trPr>
          <w:cantSplit/>
        </w:trPr>
        <w:tc>
          <w:tcPr>
            <w:tcW w:type="dxa" w:w="1800"/>
            <w:tcMar>
              <w:top w:w="90" w:type="dxa"/>
              <w:start w:w="100" w:type="dxa"/>
              <w:bottom w:w="90" w:type="dxa"/>
              <w:end w:w="100" w:type="dxa"/>
            </w:tcMar>
            <w:vAlign w:val="center"/>
          </w:tcPr>
          <w:p>
            <w:pPr>
              <w:spacing w:after="0"/>
            </w:pPr>
            <w:r>
              <w:rPr>
                <w:sz w:val="15"/>
              </w:rPr>
              <w:t>Locations</w:t>
            </w:r>
          </w:p>
        </w:tc>
        <w:tc>
          <w:tcPr>
            <w:tcW w:type="dxa" w:w="2232"/>
            <w:tcMar>
              <w:top w:w="90" w:type="dxa"/>
              <w:start w:w="100" w:type="dxa"/>
              <w:bottom w:w="90" w:type="dxa"/>
              <w:end w:w="100" w:type="dxa"/>
            </w:tcMar>
            <w:vAlign w:val="center"/>
          </w:tcPr>
          <w:p>
            <w:pPr>
              <w:spacing w:after="0"/>
            </w:pPr>
            <w:r>
              <w:rPr>
                <w:sz w:val="15"/>
              </w:rPr>
              <w:t>Local substitutes</w:t>
            </w:r>
          </w:p>
        </w:tc>
        <w:tc>
          <w:tcPr>
            <w:tcW w:type="dxa" w:w="2376"/>
            <w:tcMar>
              <w:top w:w="90" w:type="dxa"/>
              <w:start w:w="100" w:type="dxa"/>
              <w:bottom w:w="90" w:type="dxa"/>
              <w:end w:w="100" w:type="dxa"/>
            </w:tcMar>
            <w:vAlign w:val="center"/>
          </w:tcPr>
          <w:p>
            <w:pPr>
              <w:spacing w:after="0"/>
            </w:pPr>
            <w:r>
              <w:rPr>
                <w:sz w:val="15"/>
              </w:rPr>
              <w:t>Authentic travel locations</w:t>
            </w:r>
          </w:p>
        </w:tc>
        <w:tc>
          <w:tcPr>
            <w:tcW w:type="dxa" w:w="3672"/>
            <w:tcMar>
              <w:top w:w="90" w:type="dxa"/>
              <w:start w:w="100" w:type="dxa"/>
              <w:bottom w:w="90" w:type="dxa"/>
              <w:end w:w="100" w:type="dxa"/>
            </w:tcMar>
            <w:vAlign w:val="center"/>
          </w:tcPr>
          <w:p>
            <w:pPr>
              <w:spacing w:after="0"/>
            </w:pPr>
            <w:r>
              <w:rPr>
                <w:sz w:val="15"/>
              </w:rPr>
              <w:t>Credibility vs logistics</w:t>
            </w:r>
          </w:p>
        </w:tc>
      </w:tr>
      <w:tr>
        <w:trPr>
          <w:cantSplit/>
        </w:trPr>
        <w:tc>
          <w:tcPr>
            <w:tcW w:type="dxa" w:w="1800"/>
            <w:tcMar>
              <w:top w:w="90" w:type="dxa"/>
              <w:start w:w="100" w:type="dxa"/>
              <w:bottom w:w="90" w:type="dxa"/>
              <w:end w:w="100" w:type="dxa"/>
            </w:tcMar>
            <w:vAlign w:val="center"/>
          </w:tcPr>
          <w:p>
            <w:pPr>
              <w:spacing w:after="0"/>
            </w:pPr>
            <w:r>
              <w:rPr>
                <w:sz w:val="15"/>
              </w:rPr>
              <w:t>Wardrobe</w:t>
            </w:r>
          </w:p>
        </w:tc>
        <w:tc>
          <w:tcPr>
            <w:tcW w:type="dxa" w:w="2232"/>
            <w:tcMar>
              <w:top w:w="90" w:type="dxa"/>
              <w:start w:w="100" w:type="dxa"/>
              <w:bottom w:w="90" w:type="dxa"/>
              <w:end w:w="100" w:type="dxa"/>
            </w:tcMar>
            <w:vAlign w:val="center"/>
          </w:tcPr>
          <w:p>
            <w:pPr>
              <w:spacing w:after="0"/>
            </w:pPr>
            <w:r>
              <w:rPr>
                <w:sz w:val="15"/>
              </w:rPr>
              <w:t>Modern/basic/reused</w:t>
            </w:r>
          </w:p>
        </w:tc>
        <w:tc>
          <w:tcPr>
            <w:tcW w:type="dxa" w:w="2376"/>
            <w:tcMar>
              <w:top w:w="90" w:type="dxa"/>
              <w:start w:w="100" w:type="dxa"/>
              <w:bottom w:w="90" w:type="dxa"/>
              <w:end w:w="100" w:type="dxa"/>
            </w:tcMar>
            <w:vAlign w:val="center"/>
          </w:tcPr>
          <w:p>
            <w:pPr>
              <w:spacing w:after="0"/>
            </w:pPr>
            <w:r>
              <w:rPr>
                <w:sz w:val="15"/>
              </w:rPr>
              <w:t>Custom period or designer wardrobe</w:t>
            </w:r>
          </w:p>
        </w:tc>
        <w:tc>
          <w:tcPr>
            <w:tcW w:type="dxa" w:w="3672"/>
            <w:tcMar>
              <w:top w:w="90" w:type="dxa"/>
              <w:start w:w="100" w:type="dxa"/>
              <w:bottom w:w="90" w:type="dxa"/>
              <w:end w:w="100" w:type="dxa"/>
            </w:tcMar>
            <w:vAlign w:val="center"/>
          </w:tcPr>
          <w:p>
            <w:pPr>
              <w:spacing w:after="0"/>
            </w:pPr>
            <w:r>
              <w:rPr>
                <w:sz w:val="15"/>
              </w:rPr>
              <w:t>Visual identity vs cost</w:t>
            </w:r>
          </w:p>
        </w:tc>
      </w:tr>
      <w:tr>
        <w:trPr>
          <w:cantSplit/>
        </w:trPr>
        <w:tc>
          <w:tcPr>
            <w:tcW w:type="dxa" w:w="1800"/>
            <w:tcMar>
              <w:top w:w="90" w:type="dxa"/>
              <w:start w:w="100" w:type="dxa"/>
              <w:bottom w:w="90" w:type="dxa"/>
              <w:end w:w="100" w:type="dxa"/>
            </w:tcMar>
            <w:vAlign w:val="center"/>
          </w:tcPr>
          <w:p>
            <w:pPr>
              <w:spacing w:after="0"/>
            </w:pPr>
            <w:r>
              <w:rPr>
                <w:sz w:val="15"/>
              </w:rPr>
              <w:t>Cast depth</w:t>
            </w:r>
          </w:p>
        </w:tc>
        <w:tc>
          <w:tcPr>
            <w:tcW w:type="dxa" w:w="2232"/>
            <w:tcMar>
              <w:top w:w="90" w:type="dxa"/>
              <w:start w:w="100" w:type="dxa"/>
              <w:bottom w:w="90" w:type="dxa"/>
              <w:end w:w="100" w:type="dxa"/>
            </w:tcMar>
            <w:vAlign w:val="center"/>
          </w:tcPr>
          <w:p>
            <w:pPr>
              <w:spacing w:after="0"/>
            </w:pPr>
            <w:r>
              <w:rPr>
                <w:sz w:val="15"/>
              </w:rPr>
              <w:t>Small ensemble</w:t>
            </w:r>
          </w:p>
        </w:tc>
        <w:tc>
          <w:tcPr>
            <w:tcW w:type="dxa" w:w="2376"/>
            <w:tcMar>
              <w:top w:w="90" w:type="dxa"/>
              <w:start w:w="100" w:type="dxa"/>
              <w:bottom w:w="90" w:type="dxa"/>
              <w:end w:w="100" w:type="dxa"/>
            </w:tcMar>
            <w:vAlign w:val="center"/>
          </w:tcPr>
          <w:p>
            <w:pPr>
              <w:spacing w:after="0"/>
            </w:pPr>
            <w:r>
              <w:rPr>
                <w:sz w:val="15"/>
              </w:rPr>
              <w:t>Large cast and major guests</w:t>
            </w:r>
          </w:p>
        </w:tc>
        <w:tc>
          <w:tcPr>
            <w:tcW w:type="dxa" w:w="3672"/>
            <w:tcMar>
              <w:top w:w="90" w:type="dxa"/>
              <w:start w:w="100" w:type="dxa"/>
              <w:bottom w:w="90" w:type="dxa"/>
              <w:end w:w="100" w:type="dxa"/>
            </w:tcMar>
            <w:vAlign w:val="center"/>
          </w:tcPr>
          <w:p>
            <w:pPr>
              <w:spacing w:after="0"/>
            </w:pPr>
            <w:r>
              <w:rPr>
                <w:sz w:val="15"/>
              </w:rPr>
              <w:t>Character range vs salary and coordination</w:t>
            </w:r>
          </w:p>
        </w:tc>
      </w:tr>
      <w:tr>
        <w:trPr>
          <w:cantSplit/>
        </w:trPr>
        <w:tc>
          <w:tcPr>
            <w:tcW w:type="dxa" w:w="1800"/>
            <w:tcMar>
              <w:top w:w="90" w:type="dxa"/>
              <w:start w:w="100" w:type="dxa"/>
              <w:bottom w:w="90" w:type="dxa"/>
              <w:end w:w="100" w:type="dxa"/>
            </w:tcMar>
            <w:vAlign w:val="center"/>
          </w:tcPr>
          <w:p>
            <w:pPr>
              <w:spacing w:after="0"/>
            </w:pPr>
            <w:r>
              <w:rPr>
                <w:sz w:val="15"/>
              </w:rPr>
              <w:t>Episode order</w:t>
            </w:r>
          </w:p>
        </w:tc>
        <w:tc>
          <w:tcPr>
            <w:tcW w:type="dxa" w:w="2232"/>
            <w:tcMar>
              <w:top w:w="90" w:type="dxa"/>
              <w:start w:w="100" w:type="dxa"/>
              <w:bottom w:w="90" w:type="dxa"/>
              <w:end w:w="100" w:type="dxa"/>
            </w:tcMar>
            <w:vAlign w:val="center"/>
          </w:tcPr>
          <w:p>
            <w:pPr>
              <w:spacing w:after="0"/>
            </w:pPr>
            <w:r>
              <w:rPr>
                <w:sz w:val="15"/>
              </w:rPr>
              <w:t>Short initial order</w:t>
            </w:r>
          </w:p>
        </w:tc>
        <w:tc>
          <w:tcPr>
            <w:tcW w:type="dxa" w:w="2376"/>
            <w:tcMar>
              <w:top w:w="90" w:type="dxa"/>
              <w:start w:w="100" w:type="dxa"/>
              <w:bottom w:w="90" w:type="dxa"/>
              <w:end w:w="100" w:type="dxa"/>
            </w:tcMar>
            <w:vAlign w:val="center"/>
          </w:tcPr>
          <w:p>
            <w:pPr>
              <w:spacing w:after="0"/>
            </w:pPr>
            <w:r>
              <w:rPr>
                <w:sz w:val="15"/>
              </w:rPr>
              <w:t>Full season commitment</w:t>
            </w:r>
          </w:p>
        </w:tc>
        <w:tc>
          <w:tcPr>
            <w:tcW w:type="dxa" w:w="3672"/>
            <w:tcMar>
              <w:top w:w="90" w:type="dxa"/>
              <w:start w:w="100" w:type="dxa"/>
              <w:bottom w:w="90" w:type="dxa"/>
              <w:end w:w="100" w:type="dxa"/>
            </w:tcMar>
            <w:vAlign w:val="center"/>
          </w:tcPr>
          <w:p>
            <w:pPr>
              <w:spacing w:after="0"/>
            </w:pPr>
            <w:r>
              <w:rPr>
                <w:sz w:val="15"/>
              </w:rPr>
              <w:t>Lower risk vs economies of scale</w:t>
            </w:r>
          </w:p>
        </w:tc>
      </w:tr>
    </w:tbl>
    <w:p>
      <w:pPr>
        <w:spacing w:after="0"/>
      </w:pPr>
    </w:p>
    <w:p>
      <w:pPr>
        <w:pStyle w:val="Heading2"/>
      </w:pPr>
      <w:r>
        <w:t>9.2 Production timelines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376"/>
            <w:shd w:fill="1F4E79"/>
            <w:tcMar>
              <w:top w:w="90" w:type="dxa"/>
              <w:start w:w="100" w:type="dxa"/>
              <w:bottom w:w="90" w:type="dxa"/>
              <w:end w:w="100" w:type="dxa"/>
            </w:tcMar>
            <w:vAlign w:val="center"/>
          </w:tcPr>
          <w:p>
            <w:pPr>
              <w:jc w:val="center"/>
            </w:pPr>
            <w:r>
              <w:rPr>
                <w:b/>
                <w:color w:val="FFFFFF"/>
                <w:sz w:val="16"/>
              </w:rPr>
              <w:t>Content form</w:t>
            </w:r>
          </w:p>
        </w:tc>
        <w:tc>
          <w:tcPr>
            <w:tcW w:type="dxa" w:w="3024"/>
            <w:shd w:fill="1F4E79"/>
            <w:tcMar>
              <w:top w:w="90" w:type="dxa"/>
              <w:start w:w="100" w:type="dxa"/>
              <w:bottom w:w="90" w:type="dxa"/>
              <w:end w:w="100" w:type="dxa"/>
            </w:tcMar>
            <w:vAlign w:val="center"/>
          </w:tcPr>
          <w:p>
            <w:pPr>
              <w:jc w:val="center"/>
            </w:pPr>
            <w:r>
              <w:rPr>
                <w:b/>
                <w:color w:val="FFFFFF"/>
                <w:sz w:val="16"/>
              </w:rPr>
              <w:t>Typical readiness</w:t>
            </w:r>
          </w:p>
        </w:tc>
        <w:tc>
          <w:tcPr>
            <w:tcW w:type="dxa" w:w="4680"/>
            <w:shd w:fill="1F4E79"/>
            <w:tcMar>
              <w:top w:w="90" w:type="dxa"/>
              <w:start w:w="100" w:type="dxa"/>
              <w:bottom w:w="90" w:type="dxa"/>
              <w:end w:w="100" w:type="dxa"/>
            </w:tcMar>
            <w:vAlign w:val="center"/>
          </w:tcPr>
          <w:p>
            <w:pPr>
              <w:jc w:val="center"/>
            </w:pPr>
            <w:r>
              <w:rPr>
                <w:b/>
                <w:color w:val="FFFFFF"/>
                <w:sz w:val="16"/>
              </w:rPr>
              <w:t>Scheduling rule</w:t>
            </w:r>
          </w:p>
        </w:tc>
      </w:tr>
      <w:tr>
        <w:trPr>
          <w:cantSplit/>
        </w:trPr>
        <w:tc>
          <w:tcPr>
            <w:tcW w:type="dxa" w:w="2376"/>
            <w:tcMar>
              <w:top w:w="90" w:type="dxa"/>
              <w:start w:w="100" w:type="dxa"/>
              <w:bottom w:w="90" w:type="dxa"/>
              <w:end w:w="100" w:type="dxa"/>
            </w:tcMar>
            <w:vAlign w:val="center"/>
          </w:tcPr>
          <w:p>
            <w:pPr>
              <w:spacing w:after="0"/>
            </w:pPr>
            <w:r>
              <w:rPr>
                <w:sz w:val="16"/>
              </w:rPr>
              <w:t>Daily local news</w:t>
            </w:r>
          </w:p>
        </w:tc>
        <w:tc>
          <w:tcPr>
            <w:tcW w:type="dxa" w:w="3024"/>
            <w:tcMar>
              <w:top w:w="90" w:type="dxa"/>
              <w:start w:w="100" w:type="dxa"/>
              <w:bottom w:w="90" w:type="dxa"/>
              <w:end w:w="100" w:type="dxa"/>
            </w:tcMar>
            <w:vAlign w:val="center"/>
          </w:tcPr>
          <w:p>
            <w:pPr>
              <w:spacing w:after="0"/>
            </w:pPr>
            <w:r>
              <w:rPr>
                <w:sz w:val="16"/>
              </w:rPr>
              <w:t>Days to establish; then continuous</w:t>
            </w:r>
          </w:p>
        </w:tc>
        <w:tc>
          <w:tcPr>
            <w:tcW w:type="dxa" w:w="4680"/>
            <w:tcMar>
              <w:top w:w="90" w:type="dxa"/>
              <w:start w:w="100" w:type="dxa"/>
              <w:bottom w:w="90" w:type="dxa"/>
              <w:end w:w="100" w:type="dxa"/>
            </w:tcMar>
            <w:vAlign w:val="center"/>
          </w:tcPr>
          <w:p>
            <w:pPr>
              <w:spacing w:after="0"/>
            </w:pPr>
            <w:r>
              <w:rPr>
                <w:sz w:val="16"/>
              </w:rPr>
              <w:t>Can enter next week once newsroom, anchors, crew, and compliance are ready.</w:t>
            </w:r>
          </w:p>
        </w:tc>
      </w:tr>
      <w:tr>
        <w:trPr>
          <w:cantSplit/>
        </w:trPr>
        <w:tc>
          <w:tcPr>
            <w:tcW w:type="dxa" w:w="2376"/>
            <w:tcMar>
              <w:top w:w="90" w:type="dxa"/>
              <w:start w:w="100" w:type="dxa"/>
              <w:bottom w:w="90" w:type="dxa"/>
              <w:end w:w="100" w:type="dxa"/>
            </w:tcMar>
            <w:vAlign w:val="center"/>
          </w:tcPr>
          <w:p>
            <w:pPr>
              <w:spacing w:after="0"/>
            </w:pPr>
            <w:r>
              <w:rPr>
                <w:sz w:val="16"/>
              </w:rPr>
              <w:t>Talk / panel / studio sports</w:t>
            </w:r>
          </w:p>
        </w:tc>
        <w:tc>
          <w:tcPr>
            <w:tcW w:type="dxa" w:w="3024"/>
            <w:tcMar>
              <w:top w:w="90" w:type="dxa"/>
              <w:start w:w="100" w:type="dxa"/>
              <w:bottom w:w="90" w:type="dxa"/>
              <w:end w:w="100" w:type="dxa"/>
            </w:tcMar>
            <w:vAlign w:val="center"/>
          </w:tcPr>
          <w:p>
            <w:pPr>
              <w:spacing w:after="0"/>
            </w:pPr>
            <w:r>
              <w:rPr>
                <w:sz w:val="16"/>
              </w:rPr>
              <w:t>1–4 weeks to launch</w:t>
            </w:r>
          </w:p>
        </w:tc>
        <w:tc>
          <w:tcPr>
            <w:tcW w:type="dxa" w:w="4680"/>
            <w:tcMar>
              <w:top w:w="90" w:type="dxa"/>
              <w:start w:w="100" w:type="dxa"/>
              <w:bottom w:w="90" w:type="dxa"/>
              <w:end w:w="100" w:type="dxa"/>
            </w:tcMar>
            <w:vAlign w:val="center"/>
          </w:tcPr>
          <w:p>
            <w:pPr>
              <w:spacing w:after="0"/>
            </w:pPr>
            <w:r>
              <w:rPr>
                <w:sz w:val="16"/>
              </w:rPr>
              <w:t>Can schedule quickly; requires recurring staff and weekly production budget.</w:t>
            </w:r>
          </w:p>
        </w:tc>
      </w:tr>
      <w:tr>
        <w:trPr>
          <w:cantSplit/>
        </w:trPr>
        <w:tc>
          <w:tcPr>
            <w:tcW w:type="dxa" w:w="2376"/>
            <w:tcMar>
              <w:top w:w="90" w:type="dxa"/>
              <w:start w:w="100" w:type="dxa"/>
              <w:bottom w:w="90" w:type="dxa"/>
              <w:end w:w="100" w:type="dxa"/>
            </w:tcMar>
            <w:vAlign w:val="center"/>
          </w:tcPr>
          <w:p>
            <w:pPr>
              <w:spacing w:after="0"/>
            </w:pPr>
            <w:r>
              <w:rPr>
                <w:sz w:val="16"/>
              </w:rPr>
              <w:t>Contest / reality</w:t>
            </w:r>
          </w:p>
        </w:tc>
        <w:tc>
          <w:tcPr>
            <w:tcW w:type="dxa" w:w="3024"/>
            <w:tcMar>
              <w:top w:w="90" w:type="dxa"/>
              <w:start w:w="100" w:type="dxa"/>
              <w:bottom w:w="90" w:type="dxa"/>
              <w:end w:w="100" w:type="dxa"/>
            </w:tcMar>
            <w:vAlign w:val="center"/>
          </w:tcPr>
          <w:p>
            <w:pPr>
              <w:spacing w:after="0"/>
            </w:pPr>
            <w:r>
              <w:rPr>
                <w:sz w:val="16"/>
              </w:rPr>
              <w:t>4–16 weeks depending on casting, set, and episode order</w:t>
            </w:r>
          </w:p>
        </w:tc>
        <w:tc>
          <w:tcPr>
            <w:tcW w:type="dxa" w:w="4680"/>
            <w:tcMar>
              <w:top w:w="90" w:type="dxa"/>
              <w:start w:w="100" w:type="dxa"/>
              <w:bottom w:w="90" w:type="dxa"/>
              <w:end w:w="100" w:type="dxa"/>
            </w:tcMar>
            <w:vAlign w:val="center"/>
          </w:tcPr>
          <w:p>
            <w:pPr>
              <w:spacing w:after="0"/>
            </w:pPr>
            <w:r>
              <w:rPr>
                <w:sz w:val="16"/>
              </w:rPr>
              <w:t>Usually completed or banked before launch; some formats produce while airing.</w:t>
            </w:r>
          </w:p>
        </w:tc>
      </w:tr>
      <w:tr>
        <w:trPr>
          <w:cantSplit/>
        </w:trPr>
        <w:tc>
          <w:tcPr>
            <w:tcW w:type="dxa" w:w="2376"/>
            <w:tcMar>
              <w:top w:w="90" w:type="dxa"/>
              <w:start w:w="100" w:type="dxa"/>
              <w:bottom w:w="90" w:type="dxa"/>
              <w:end w:w="100" w:type="dxa"/>
            </w:tcMar>
            <w:vAlign w:val="center"/>
          </w:tcPr>
          <w:p>
            <w:pPr>
              <w:spacing w:after="0"/>
            </w:pPr>
            <w:r>
              <w:rPr>
                <w:sz w:val="16"/>
              </w:rPr>
              <w:t>Documentary / factual</w:t>
            </w:r>
          </w:p>
        </w:tc>
        <w:tc>
          <w:tcPr>
            <w:tcW w:type="dxa" w:w="3024"/>
            <w:tcMar>
              <w:top w:w="90" w:type="dxa"/>
              <w:start w:w="100" w:type="dxa"/>
              <w:bottom w:w="90" w:type="dxa"/>
              <w:end w:w="100" w:type="dxa"/>
            </w:tcMar>
            <w:vAlign w:val="center"/>
          </w:tcPr>
          <w:p>
            <w:pPr>
              <w:spacing w:after="0"/>
            </w:pPr>
            <w:r>
              <w:rPr>
                <w:sz w:val="16"/>
              </w:rPr>
              <w:t>4 weeks to many months</w:t>
            </w:r>
          </w:p>
        </w:tc>
        <w:tc>
          <w:tcPr>
            <w:tcW w:type="dxa" w:w="4680"/>
            <w:tcMar>
              <w:top w:w="90" w:type="dxa"/>
              <w:start w:w="100" w:type="dxa"/>
              <w:bottom w:w="90" w:type="dxa"/>
              <w:end w:w="100" w:type="dxa"/>
            </w:tcMar>
            <w:vAlign w:val="center"/>
          </w:tcPr>
          <w:p>
            <w:pPr>
              <w:spacing w:after="0"/>
            </w:pPr>
            <w:r>
              <w:rPr>
                <w:sz w:val="16"/>
              </w:rPr>
              <w:t>May release as one-off, limited series, or recurring magazine.</w:t>
            </w:r>
          </w:p>
        </w:tc>
      </w:tr>
      <w:tr>
        <w:trPr>
          <w:cantSplit/>
        </w:trPr>
        <w:tc>
          <w:tcPr>
            <w:tcW w:type="dxa" w:w="2376"/>
            <w:tcMar>
              <w:top w:w="90" w:type="dxa"/>
              <w:start w:w="100" w:type="dxa"/>
              <w:bottom w:w="90" w:type="dxa"/>
              <w:end w:w="100" w:type="dxa"/>
            </w:tcMar>
            <w:vAlign w:val="center"/>
          </w:tcPr>
          <w:p>
            <w:pPr>
              <w:spacing w:after="0"/>
            </w:pPr>
            <w:r>
              <w:rPr>
                <w:sz w:val="16"/>
              </w:rPr>
              <w:t>Scripted comedy/drama</w:t>
            </w:r>
          </w:p>
        </w:tc>
        <w:tc>
          <w:tcPr>
            <w:tcW w:type="dxa" w:w="3024"/>
            <w:tcMar>
              <w:top w:w="90" w:type="dxa"/>
              <w:start w:w="100" w:type="dxa"/>
              <w:bottom w:w="90" w:type="dxa"/>
              <w:end w:w="100" w:type="dxa"/>
            </w:tcMar>
            <w:vAlign w:val="center"/>
          </w:tcPr>
          <w:p>
            <w:pPr>
              <w:spacing w:after="0"/>
            </w:pPr>
            <w:r>
              <w:rPr>
                <w:sz w:val="16"/>
              </w:rPr>
              <w:t>8 weeks to more than a year</w:t>
            </w:r>
          </w:p>
        </w:tc>
        <w:tc>
          <w:tcPr>
            <w:tcW w:type="dxa" w:w="4680"/>
            <w:tcMar>
              <w:top w:w="90" w:type="dxa"/>
              <w:start w:w="100" w:type="dxa"/>
              <w:bottom w:w="90" w:type="dxa"/>
              <w:end w:w="100" w:type="dxa"/>
            </w:tcMar>
            <w:vAlign w:val="center"/>
          </w:tcPr>
          <w:p>
            <w:pPr>
              <w:spacing w:after="0"/>
            </w:pPr>
            <w:r>
              <w:rPr>
                <w:sz w:val="16"/>
              </w:rPr>
              <w:t>Must finish pilot and minimum delivery buffer; full-season timing depends on model.</w:t>
            </w:r>
          </w:p>
        </w:tc>
      </w:tr>
      <w:tr>
        <w:trPr>
          <w:cantSplit/>
        </w:trPr>
        <w:tc>
          <w:tcPr>
            <w:tcW w:type="dxa" w:w="2376"/>
            <w:tcMar>
              <w:top w:w="90" w:type="dxa"/>
              <w:start w:w="100" w:type="dxa"/>
              <w:bottom w:w="90" w:type="dxa"/>
              <w:end w:w="100" w:type="dxa"/>
            </w:tcMar>
            <w:vAlign w:val="center"/>
          </w:tcPr>
          <w:p>
            <w:pPr>
              <w:spacing w:after="0"/>
            </w:pPr>
            <w:r>
              <w:rPr>
                <w:sz w:val="16"/>
              </w:rPr>
              <w:t>Animation / VFX-heavy</w:t>
            </w:r>
          </w:p>
        </w:tc>
        <w:tc>
          <w:tcPr>
            <w:tcW w:type="dxa" w:w="3024"/>
            <w:tcMar>
              <w:top w:w="90" w:type="dxa"/>
              <w:start w:w="100" w:type="dxa"/>
              <w:bottom w:w="90" w:type="dxa"/>
              <w:end w:w="100" w:type="dxa"/>
            </w:tcMar>
            <w:vAlign w:val="center"/>
          </w:tcPr>
          <w:p>
            <w:pPr>
              <w:spacing w:after="0"/>
            </w:pPr>
            <w:r>
              <w:rPr>
                <w:sz w:val="16"/>
              </w:rPr>
              <w:t>Months to years</w:t>
            </w:r>
          </w:p>
        </w:tc>
        <w:tc>
          <w:tcPr>
            <w:tcW w:type="dxa" w:w="4680"/>
            <w:tcMar>
              <w:top w:w="90" w:type="dxa"/>
              <w:start w:w="100" w:type="dxa"/>
              <w:bottom w:w="90" w:type="dxa"/>
              <w:end w:w="100" w:type="dxa"/>
            </w:tcMar>
            <w:vAlign w:val="center"/>
          </w:tcPr>
          <w:p>
            <w:pPr>
              <w:spacing w:after="0"/>
            </w:pPr>
            <w:r>
              <w:rPr>
                <w:sz w:val="16"/>
              </w:rPr>
              <w:t>Long lead time, high pipeline importance, but strong library value.</w:t>
            </w:r>
          </w:p>
        </w:tc>
      </w:tr>
      <w:tr>
        <w:trPr>
          <w:cantSplit/>
        </w:trPr>
        <w:tc>
          <w:tcPr>
            <w:tcW w:type="dxa" w:w="2376"/>
            <w:tcMar>
              <w:top w:w="90" w:type="dxa"/>
              <w:start w:w="100" w:type="dxa"/>
              <w:bottom w:w="90" w:type="dxa"/>
              <w:end w:w="100" w:type="dxa"/>
            </w:tcMar>
            <w:vAlign w:val="center"/>
          </w:tcPr>
          <w:p>
            <w:pPr>
              <w:spacing w:after="0"/>
            </w:pPr>
            <w:r>
              <w:rPr>
                <w:sz w:val="16"/>
              </w:rPr>
              <w:t>Live event</w:t>
            </w:r>
          </w:p>
        </w:tc>
        <w:tc>
          <w:tcPr>
            <w:tcW w:type="dxa" w:w="3024"/>
            <w:tcMar>
              <w:top w:w="90" w:type="dxa"/>
              <w:start w:w="100" w:type="dxa"/>
              <w:bottom w:w="90" w:type="dxa"/>
              <w:end w:w="100" w:type="dxa"/>
            </w:tcMar>
            <w:vAlign w:val="center"/>
          </w:tcPr>
          <w:p>
            <w:pPr>
              <w:spacing w:after="0"/>
            </w:pPr>
            <w:r>
              <w:rPr>
                <w:sz w:val="16"/>
              </w:rPr>
              <w:t>Preparation varies; fixed broadcast date</w:t>
            </w:r>
          </w:p>
        </w:tc>
        <w:tc>
          <w:tcPr>
            <w:tcW w:type="dxa" w:w="4680"/>
            <w:tcMar>
              <w:top w:w="90" w:type="dxa"/>
              <w:start w:w="100" w:type="dxa"/>
              <w:bottom w:w="90" w:type="dxa"/>
              <w:end w:w="100" w:type="dxa"/>
            </w:tcMar>
            <w:vAlign w:val="center"/>
          </w:tcPr>
          <w:p>
            <w:pPr>
              <w:spacing w:after="0"/>
            </w:pPr>
            <w:r>
              <w:rPr>
                <w:sz w:val="16"/>
              </w:rPr>
              <w:t>Requires rights, facilities, rehearsals, contingency, and live production capability.</w:t>
            </w:r>
          </w:p>
        </w:tc>
      </w:tr>
    </w:tbl>
    <w:p>
      <w:pPr>
        <w:spacing w:after="0"/>
      </w:pPr>
    </w:p>
    <w:p>
      <w:pPr>
        <w:pStyle w:val="Heading2"/>
      </w:pPr>
      <w:r>
        <w:t>9.3 Unscripted and continuous productions</w:t>
      </w:r>
    </w:p>
    <w:p>
      <w:r>
        <w:t>News, talk shows, daily sports programs, and some low-complexity factual formats are continuing operations. Once the launch package is ready, they can be scheduled for the following week. They do not become “finished inventory”; instead, they incur ongoing weekly production costs and depend on staff availability, topical relevance, and operational reliability.</w:t>
      </w:r>
    </w:p>
    <w:p>
      <w:pPr>
        <w:pStyle w:val="Heading1"/>
      </w:pPr>
      <w:r>
        <w:t>10. Rights Marketplace</w:t>
      </w:r>
    </w:p>
    <w:p>
      <w:r>
        <w:t>Rights are a central strategic system. They provide immediate programming, recognizable brands, live urgency, and geographic leverage, but can create large fixed commitments and bidding wars.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1F4E79"/>
            <w:tcMar>
              <w:top w:w="90" w:type="dxa"/>
              <w:start w:w="100" w:type="dxa"/>
              <w:bottom w:w="90" w:type="dxa"/>
              <w:end w:w="100" w:type="dxa"/>
            </w:tcMar>
            <w:vAlign w:val="center"/>
          </w:tcPr>
          <w:p>
            <w:pPr>
              <w:jc w:val="center"/>
            </w:pPr>
            <w:r>
              <w:rPr>
                <w:b/>
                <w:color w:val="FFFFFF"/>
                <w:sz w:val="16"/>
              </w:rPr>
              <w:t>Rights category</w:t>
            </w:r>
          </w:p>
        </w:tc>
        <w:tc>
          <w:tcPr>
            <w:tcW w:type="dxa" w:w="7992"/>
            <w:shd w:fill="1F4E79"/>
            <w:tcMar>
              <w:top w:w="90" w:type="dxa"/>
              <w:start w:w="100" w:type="dxa"/>
              <w:bottom w:w="90" w:type="dxa"/>
              <w:end w:w="100" w:type="dxa"/>
            </w:tcMar>
            <w:vAlign w:val="center"/>
          </w:tcPr>
          <w:p>
            <w:pPr>
              <w:jc w:val="center"/>
            </w:pPr>
            <w:r>
              <w:rPr>
                <w:b/>
                <w:color w:val="FFFFFF"/>
                <w:sz w:val="16"/>
              </w:rPr>
              <w:t>Examples</w:t>
            </w:r>
          </w:p>
        </w:tc>
      </w:tr>
      <w:tr>
        <w:trPr>
          <w:cantSplit/>
        </w:trPr>
        <w:tc>
          <w:tcPr>
            <w:tcW w:type="dxa" w:w="2088"/>
            <w:tcMar>
              <w:top w:w="90" w:type="dxa"/>
              <w:start w:w="100" w:type="dxa"/>
              <w:bottom w:w="90" w:type="dxa"/>
              <w:end w:w="100" w:type="dxa"/>
            </w:tcMar>
            <w:vAlign w:val="center"/>
          </w:tcPr>
          <w:p>
            <w:pPr>
              <w:spacing w:after="0"/>
            </w:pPr>
            <w:r>
              <w:rPr>
                <w:sz w:val="16"/>
              </w:rPr>
              <w:t>Sports</w:t>
            </w:r>
          </w:p>
        </w:tc>
        <w:tc>
          <w:tcPr>
            <w:tcW w:type="dxa" w:w="7992"/>
            <w:tcMar>
              <w:top w:w="90" w:type="dxa"/>
              <w:start w:w="100" w:type="dxa"/>
              <w:bottom w:w="90" w:type="dxa"/>
              <w:end w:w="100" w:type="dxa"/>
            </w:tcMar>
            <w:vAlign w:val="center"/>
          </w:tcPr>
          <w:p>
            <w:pPr>
              <w:spacing w:after="0"/>
            </w:pPr>
            <w:r>
              <w:rPr>
                <w:sz w:val="16"/>
              </w:rPr>
              <w:t>League, team, tournament, race, event, highlights, shoulder programming, local radio/TV, regional, national, streaming, language, exclusivity.</w:t>
            </w:r>
          </w:p>
        </w:tc>
      </w:tr>
      <w:tr>
        <w:trPr>
          <w:cantSplit/>
        </w:trPr>
        <w:tc>
          <w:tcPr>
            <w:tcW w:type="dxa" w:w="2088"/>
            <w:tcMar>
              <w:top w:w="90" w:type="dxa"/>
              <w:start w:w="100" w:type="dxa"/>
              <w:bottom w:w="90" w:type="dxa"/>
              <w:end w:w="100" w:type="dxa"/>
            </w:tcMar>
            <w:vAlign w:val="center"/>
          </w:tcPr>
          <w:p>
            <w:pPr>
              <w:spacing w:after="0"/>
            </w:pPr>
            <w:r>
              <w:rPr>
                <w:sz w:val="16"/>
              </w:rPr>
              <w:t>Movies and libraries</w:t>
            </w:r>
          </w:p>
        </w:tc>
        <w:tc>
          <w:tcPr>
            <w:tcW w:type="dxa" w:w="7992"/>
            <w:tcMar>
              <w:top w:w="90" w:type="dxa"/>
              <w:start w:w="100" w:type="dxa"/>
              <w:bottom w:w="90" w:type="dxa"/>
              <w:end w:w="100" w:type="dxa"/>
            </w:tcMar>
            <w:vAlign w:val="center"/>
          </w:tcPr>
          <w:p>
            <w:pPr>
              <w:spacing w:after="0"/>
            </w:pPr>
            <w:r>
              <w:rPr>
                <w:sz w:val="16"/>
              </w:rPr>
              <w:t>Studio packages, genre bundles, decades, premium windows, free-TV windows, reruns, holiday packages, local or national clearance.</w:t>
            </w:r>
          </w:p>
        </w:tc>
      </w:tr>
      <w:tr>
        <w:trPr>
          <w:cantSplit/>
        </w:trPr>
        <w:tc>
          <w:tcPr>
            <w:tcW w:type="dxa" w:w="2088"/>
            <w:tcMar>
              <w:top w:w="90" w:type="dxa"/>
              <w:start w:w="100" w:type="dxa"/>
              <w:bottom w:w="90" w:type="dxa"/>
              <w:end w:w="100" w:type="dxa"/>
            </w:tcMar>
            <w:vAlign w:val="center"/>
          </w:tcPr>
          <w:p>
            <w:pPr>
              <w:spacing w:after="0"/>
            </w:pPr>
            <w:r>
              <w:rPr>
                <w:sz w:val="16"/>
              </w:rPr>
              <w:t>Imported programs</w:t>
            </w:r>
          </w:p>
        </w:tc>
        <w:tc>
          <w:tcPr>
            <w:tcW w:type="dxa" w:w="7992"/>
            <w:tcMar>
              <w:top w:w="90" w:type="dxa"/>
              <w:start w:w="100" w:type="dxa"/>
              <w:bottom w:w="90" w:type="dxa"/>
              <w:end w:w="100" w:type="dxa"/>
            </w:tcMar>
            <w:vAlign w:val="center"/>
          </w:tcPr>
          <w:p>
            <w:pPr>
              <w:spacing w:after="0"/>
            </w:pPr>
            <w:r>
              <w:rPr>
                <w:sz w:val="16"/>
              </w:rPr>
              <w:t>Finished foreign series, dubbing/subtitle rights, remake rights, format licenses.</w:t>
            </w:r>
          </w:p>
        </w:tc>
      </w:tr>
      <w:tr>
        <w:trPr>
          <w:cantSplit/>
        </w:trPr>
        <w:tc>
          <w:tcPr>
            <w:tcW w:type="dxa" w:w="2088"/>
            <w:tcMar>
              <w:top w:w="90" w:type="dxa"/>
              <w:start w:w="100" w:type="dxa"/>
              <w:bottom w:w="90" w:type="dxa"/>
              <w:end w:w="100" w:type="dxa"/>
            </w:tcMar>
            <w:vAlign w:val="center"/>
          </w:tcPr>
          <w:p>
            <w:pPr>
              <w:spacing w:after="0"/>
            </w:pPr>
            <w:r>
              <w:rPr>
                <w:sz w:val="16"/>
              </w:rPr>
              <w:t>Formats</w:t>
            </w:r>
          </w:p>
        </w:tc>
        <w:tc>
          <w:tcPr>
            <w:tcW w:type="dxa" w:w="7992"/>
            <w:tcMar>
              <w:top w:w="90" w:type="dxa"/>
              <w:start w:w="100" w:type="dxa"/>
              <w:bottom w:w="90" w:type="dxa"/>
              <w:end w:w="100" w:type="dxa"/>
            </w:tcMar>
            <w:vAlign w:val="center"/>
          </w:tcPr>
          <w:p>
            <w:pPr>
              <w:spacing w:after="0"/>
            </w:pPr>
            <w:r>
              <w:rPr>
                <w:sz w:val="16"/>
              </w:rPr>
              <w:t>Game, reality, talent, dating, or factual concepts licensed for local production with rules and brand support.</w:t>
            </w:r>
          </w:p>
        </w:tc>
      </w:tr>
      <w:tr>
        <w:trPr>
          <w:cantSplit/>
        </w:trPr>
        <w:tc>
          <w:tcPr>
            <w:tcW w:type="dxa" w:w="2088"/>
            <w:tcMar>
              <w:top w:w="90" w:type="dxa"/>
              <w:start w:w="100" w:type="dxa"/>
              <w:bottom w:w="90" w:type="dxa"/>
              <w:end w:w="100" w:type="dxa"/>
            </w:tcMar>
            <w:vAlign w:val="center"/>
          </w:tcPr>
          <w:p>
            <w:pPr>
              <w:spacing w:after="0"/>
            </w:pPr>
            <w:r>
              <w:rPr>
                <w:sz w:val="16"/>
              </w:rPr>
              <w:t>Events</w:t>
            </w:r>
          </w:p>
        </w:tc>
        <w:tc>
          <w:tcPr>
            <w:tcW w:type="dxa" w:w="7992"/>
            <w:tcMar>
              <w:top w:w="90" w:type="dxa"/>
              <w:start w:w="100" w:type="dxa"/>
              <w:bottom w:w="90" w:type="dxa"/>
              <w:end w:w="100" w:type="dxa"/>
            </w:tcMar>
            <w:vAlign w:val="center"/>
          </w:tcPr>
          <w:p>
            <w:pPr>
              <w:spacing w:after="0"/>
            </w:pPr>
            <w:r>
              <w:rPr>
                <w:sz w:val="16"/>
              </w:rPr>
              <w:t>Awards, concerts, pageants, debates, festivals, ceremonies, specials.</w:t>
            </w:r>
          </w:p>
        </w:tc>
      </w:tr>
      <w:tr>
        <w:trPr>
          <w:cantSplit/>
        </w:trPr>
        <w:tc>
          <w:tcPr>
            <w:tcW w:type="dxa" w:w="2088"/>
            <w:tcMar>
              <w:top w:w="90" w:type="dxa"/>
              <w:start w:w="100" w:type="dxa"/>
              <w:bottom w:w="90" w:type="dxa"/>
              <w:end w:w="100" w:type="dxa"/>
            </w:tcMar>
            <w:vAlign w:val="center"/>
          </w:tcPr>
          <w:p>
            <w:pPr>
              <w:spacing w:after="0"/>
            </w:pPr>
            <w:r>
              <w:rPr>
                <w:sz w:val="16"/>
              </w:rPr>
              <w:t>Archives and clips</w:t>
            </w:r>
          </w:p>
        </w:tc>
        <w:tc>
          <w:tcPr>
            <w:tcW w:type="dxa" w:w="7992"/>
            <w:tcMar>
              <w:top w:w="90" w:type="dxa"/>
              <w:start w:w="100" w:type="dxa"/>
              <w:bottom w:w="90" w:type="dxa"/>
              <w:end w:w="100" w:type="dxa"/>
            </w:tcMar>
            <w:vAlign w:val="center"/>
          </w:tcPr>
          <w:p>
            <w:pPr>
              <w:spacing w:after="0"/>
            </w:pPr>
            <w:r>
              <w:rPr>
                <w:sz w:val="16"/>
              </w:rPr>
              <w:t>News footage, sports archives, historical material, music, images, and documentary access.</w:t>
            </w:r>
          </w:p>
        </w:tc>
      </w:tr>
    </w:tbl>
    <w:p>
      <w:pPr>
        <w:spacing w:after="0"/>
      </w:pPr>
    </w:p>
    <w:p>
      <w:pPr>
        <w:pStyle w:val="Heading2"/>
      </w:pPr>
      <w:r>
        <w:t>10.1 Contract dimensions</w:t>
      </w:r>
    </w:p>
    <w:p>
      <w:pPr>
        <w:pStyle w:val="ListBullet"/>
      </w:pPr>
      <w:r>
        <w:t>Territory and household reach: local market, state, region, national, international.</w:t>
      </w:r>
    </w:p>
    <w:p>
      <w:pPr>
        <w:pStyle w:val="ListBullet"/>
      </w:pPr>
      <w:r>
        <w:t>Platform: terrestrial, cable, streaming, mobile, highlights, on-demand, archive.</w:t>
      </w:r>
    </w:p>
    <w:p>
      <w:pPr>
        <w:pStyle w:val="ListBullet"/>
      </w:pPr>
      <w:r>
        <w:t>Exclusivity: exclusive, co-exclusive, non-exclusive, delayed, secondary window.</w:t>
      </w:r>
    </w:p>
    <w:p>
      <w:pPr>
        <w:pStyle w:val="ListBullet"/>
      </w:pPr>
      <w:r>
        <w:t>Term and volume: seasons, years, games, films, episodes, minimum runs.</w:t>
      </w:r>
    </w:p>
    <w:p>
      <w:pPr>
        <w:pStyle w:val="ListBullet"/>
      </w:pPr>
      <w:r>
        <w:t>Window and scheduling restrictions: live, same-day, prime time, blackout, replay limits.</w:t>
      </w:r>
    </w:p>
    <w:p>
      <w:pPr>
        <w:pStyle w:val="ListBullet"/>
      </w:pPr>
      <w:r>
        <w:t>Economics: fixed guarantee, per-event fee, revenue share, subscriber fee, advertising split, escalators, performance bonuses.</w:t>
      </w:r>
    </w:p>
    <w:p>
      <w:pPr>
        <w:pStyle w:val="ListBullet"/>
      </w:pPr>
      <w:r>
        <w:t>Production responsibility: rights holder feed, network production, local commentary, studio shows, travel.</w:t>
      </w:r>
    </w:p>
    <w:p>
      <w:pPr>
        <w:pStyle w:val="Heading2"/>
      </w:pPr>
      <w:r>
        <w:t>10.2 Rights auction and negotiation</w:t>
      </w:r>
    </w:p>
    <w:p>
      <w:r>
        <w:t>Major rights use multi-round bidding with visible strategic signals, not perfect information. The player submits territory, platform, term, exclusivity, guarantees, production promises, and promotional commitments. Rights holders evaluate money, reach, production quality, brand fit, reliability, and growth potential. Smaller packages can be negotiated directly or acquired opportunistically after a buyer defaults.</w:t>
      </w:r>
    </w:p>
    <w:tbl>
      <w:tblPr>
        <w:tblW w:type="auto" w:w="0"/>
        <w:jc w:val="center"/>
        <w:tblLayout w:type="autofit"/>
        <w:tblLook w:firstColumn="1" w:firstRow="1" w:lastColumn="0" w:lastRow="0" w:noHBand="0" w:noVBand="1" w:val="04A0"/>
      </w:tblPr>
      <w:tblGrid>
        <w:gridCol w:w="9994"/>
      </w:tblGrid>
      <w:tr>
        <w:trPr>
          <w:cantSplit/>
        </w:trPr>
        <w:tc>
          <w:tcPr>
            <w:tcW w:type="dxa" w:w="9994"/>
            <w:shd w:fill="EAF1F8"/>
            <w:tcMar>
              <w:top w:w="120" w:type="dxa"/>
              <w:start w:w="160" w:type="dxa"/>
              <w:bottom w:w="120" w:type="dxa"/>
              <w:end w:w="160" w:type="dxa"/>
            </w:tcMar>
          </w:tcPr>
          <w:p>
            <w:r>
              <w:rPr>
                <w:b/>
                <w:color w:val="1F4E79"/>
              </w:rPr>
              <w:t xml:space="preserve">Strategic tension — </w:t>
            </w:r>
            <w:r>
              <w:t>Sports can accelerate distribution because operators and affiliates want the content. Movie libraries can stabilize weak dayparts. Format rights can reduce creative risk. But expensive rights may crowd out original production and leave the network vulnerable if ratings disappoint.</w:t>
            </w:r>
          </w:p>
        </w:tc>
      </w:tr>
    </w:tbl>
    <w:p>
      <w:pPr>
        <w:spacing w:after="0"/>
      </w:pPr>
    </w:p>
    <w:p>
      <w:pPr>
        <w:pStyle w:val="Heading1"/>
      </w:pPr>
      <w:r>
        <w:t>11. Programming and Schedule Grid</w:t>
      </w:r>
    </w:p>
    <w:p>
      <w:r>
        <w:t>Programming should use a calendar grid inspired by Outlook rather than a list of abstract slots. Days are columns and broad dayparts are rows: Morning, Afternoon, Evening, Prime Time, and Late Night. Each block can contain one program, a recurring strand, a movie, live rights content, local opt-out, rerun, or an empty placeholder.</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944"/>
            <w:shd w:fill="1F4E79"/>
            <w:tcMar>
              <w:top w:w="90" w:type="dxa"/>
              <w:start w:w="100" w:type="dxa"/>
              <w:bottom w:w="90" w:type="dxa"/>
              <w:end w:w="100" w:type="dxa"/>
            </w:tcMar>
            <w:vAlign w:val="center"/>
          </w:tcPr>
          <w:p>
            <w:pPr>
              <w:jc w:val="center"/>
            </w:pPr>
            <w:r>
              <w:rPr>
                <w:b/>
                <w:color w:val="FFFFFF"/>
                <w:sz w:val="16"/>
              </w:rPr>
              <w:t>Daypart</w:t>
            </w:r>
          </w:p>
        </w:tc>
        <w:tc>
          <w:tcPr>
            <w:tcW w:type="dxa" w:w="8136"/>
            <w:shd w:fill="1F4E79"/>
            <w:tcMar>
              <w:top w:w="90" w:type="dxa"/>
              <w:start w:w="100" w:type="dxa"/>
              <w:bottom w:w="90" w:type="dxa"/>
              <w:end w:w="100" w:type="dxa"/>
            </w:tcMar>
            <w:vAlign w:val="center"/>
          </w:tcPr>
          <w:p>
            <w:pPr>
              <w:jc w:val="center"/>
            </w:pPr>
            <w:r>
              <w:rPr>
                <w:b/>
                <w:color w:val="FFFFFF"/>
                <w:sz w:val="16"/>
              </w:rPr>
              <w:t>Typical content and audience behavior</w:t>
            </w:r>
          </w:p>
        </w:tc>
      </w:tr>
      <w:tr>
        <w:trPr>
          <w:cantSplit/>
        </w:trPr>
        <w:tc>
          <w:tcPr>
            <w:tcW w:type="dxa" w:w="1944"/>
            <w:tcMar>
              <w:top w:w="90" w:type="dxa"/>
              <w:start w:w="100" w:type="dxa"/>
              <w:bottom w:w="90" w:type="dxa"/>
              <w:end w:w="100" w:type="dxa"/>
            </w:tcMar>
            <w:vAlign w:val="center"/>
          </w:tcPr>
          <w:p>
            <w:pPr>
              <w:spacing w:after="0"/>
            </w:pPr>
            <w:r>
              <w:rPr>
                <w:sz w:val="16"/>
              </w:rPr>
              <w:t>Morning</w:t>
            </w:r>
          </w:p>
        </w:tc>
        <w:tc>
          <w:tcPr>
            <w:tcW w:type="dxa" w:w="8136"/>
            <w:tcMar>
              <w:top w:w="90" w:type="dxa"/>
              <w:start w:w="100" w:type="dxa"/>
              <w:bottom w:w="90" w:type="dxa"/>
              <w:end w:w="100" w:type="dxa"/>
            </w:tcMar>
            <w:vAlign w:val="center"/>
          </w:tcPr>
          <w:p>
            <w:pPr>
              <w:spacing w:after="0"/>
            </w:pPr>
            <w:r>
              <w:rPr>
                <w:sz w:val="16"/>
              </w:rPr>
              <w:t>Local news, weather, talk, children, lifestyle, commuters; habitual viewing and sponsorship.</w:t>
            </w:r>
          </w:p>
        </w:tc>
      </w:tr>
      <w:tr>
        <w:trPr>
          <w:cantSplit/>
        </w:trPr>
        <w:tc>
          <w:tcPr>
            <w:tcW w:type="dxa" w:w="1944"/>
            <w:tcMar>
              <w:top w:w="90" w:type="dxa"/>
              <w:start w:w="100" w:type="dxa"/>
              <w:bottom w:w="90" w:type="dxa"/>
              <w:end w:w="100" w:type="dxa"/>
            </w:tcMar>
            <w:vAlign w:val="center"/>
          </w:tcPr>
          <w:p>
            <w:pPr>
              <w:spacing w:after="0"/>
            </w:pPr>
            <w:r>
              <w:rPr>
                <w:sz w:val="16"/>
              </w:rPr>
              <w:t>Afternoon</w:t>
            </w:r>
          </w:p>
        </w:tc>
        <w:tc>
          <w:tcPr>
            <w:tcW w:type="dxa" w:w="8136"/>
            <w:tcMar>
              <w:top w:w="90" w:type="dxa"/>
              <w:start w:w="100" w:type="dxa"/>
              <w:bottom w:w="90" w:type="dxa"/>
              <w:end w:w="100" w:type="dxa"/>
            </w:tcMar>
            <w:vAlign w:val="center"/>
          </w:tcPr>
          <w:p>
            <w:pPr>
              <w:spacing w:after="0"/>
            </w:pPr>
            <w:r>
              <w:rPr>
                <w:sz w:val="16"/>
              </w:rPr>
              <w:t>Syndication, talk, contests, movies, children, reruns; cost efficiency and demographic targeting.</w:t>
            </w:r>
          </w:p>
        </w:tc>
      </w:tr>
      <w:tr>
        <w:trPr>
          <w:cantSplit/>
        </w:trPr>
        <w:tc>
          <w:tcPr>
            <w:tcW w:type="dxa" w:w="1944"/>
            <w:tcMar>
              <w:top w:w="90" w:type="dxa"/>
              <w:start w:w="100" w:type="dxa"/>
              <w:bottom w:w="90" w:type="dxa"/>
              <w:end w:w="100" w:type="dxa"/>
            </w:tcMar>
            <w:vAlign w:val="center"/>
          </w:tcPr>
          <w:p>
            <w:pPr>
              <w:spacing w:after="0"/>
            </w:pPr>
            <w:r>
              <w:rPr>
                <w:sz w:val="16"/>
              </w:rPr>
              <w:t>Evening</w:t>
            </w:r>
          </w:p>
        </w:tc>
        <w:tc>
          <w:tcPr>
            <w:tcW w:type="dxa" w:w="8136"/>
            <w:tcMar>
              <w:top w:w="90" w:type="dxa"/>
              <w:start w:w="100" w:type="dxa"/>
              <w:bottom w:w="90" w:type="dxa"/>
              <w:end w:w="100" w:type="dxa"/>
            </w:tcMar>
            <w:vAlign w:val="center"/>
          </w:tcPr>
          <w:p>
            <w:pPr>
              <w:spacing w:after="0"/>
            </w:pPr>
            <w:r>
              <w:rPr>
                <w:sz w:val="16"/>
              </w:rPr>
              <w:t>Local news, access programming, sports studio, family shows; transition into prime time.</w:t>
            </w:r>
          </w:p>
        </w:tc>
      </w:tr>
      <w:tr>
        <w:trPr>
          <w:cantSplit/>
        </w:trPr>
        <w:tc>
          <w:tcPr>
            <w:tcW w:type="dxa" w:w="1944"/>
            <w:tcMar>
              <w:top w:w="90" w:type="dxa"/>
              <w:start w:w="100" w:type="dxa"/>
              <w:bottom w:w="90" w:type="dxa"/>
              <w:end w:w="100" w:type="dxa"/>
            </w:tcMar>
            <w:vAlign w:val="center"/>
          </w:tcPr>
          <w:p>
            <w:pPr>
              <w:spacing w:after="0"/>
            </w:pPr>
            <w:r>
              <w:rPr>
                <w:sz w:val="16"/>
              </w:rPr>
              <w:t>Prime Time</w:t>
            </w:r>
          </w:p>
        </w:tc>
        <w:tc>
          <w:tcPr>
            <w:tcW w:type="dxa" w:w="8136"/>
            <w:tcMar>
              <w:top w:w="90" w:type="dxa"/>
              <w:start w:w="100" w:type="dxa"/>
              <w:bottom w:w="90" w:type="dxa"/>
              <w:end w:w="100" w:type="dxa"/>
            </w:tcMar>
            <w:vAlign w:val="center"/>
          </w:tcPr>
          <w:p>
            <w:pPr>
              <w:spacing w:after="0"/>
            </w:pPr>
            <w:r>
              <w:rPr>
                <w:sz w:val="16"/>
              </w:rPr>
              <w:t>Flagship originals, major rights, movies, reality, contests, events; highest stakes and competition.</w:t>
            </w:r>
          </w:p>
        </w:tc>
      </w:tr>
      <w:tr>
        <w:trPr>
          <w:cantSplit/>
        </w:trPr>
        <w:tc>
          <w:tcPr>
            <w:tcW w:type="dxa" w:w="1944"/>
            <w:tcMar>
              <w:top w:w="90" w:type="dxa"/>
              <w:start w:w="100" w:type="dxa"/>
              <w:bottom w:w="90" w:type="dxa"/>
              <w:end w:w="100" w:type="dxa"/>
            </w:tcMar>
            <w:vAlign w:val="center"/>
          </w:tcPr>
          <w:p>
            <w:pPr>
              <w:spacing w:after="0"/>
            </w:pPr>
            <w:r>
              <w:rPr>
                <w:sz w:val="16"/>
              </w:rPr>
              <w:t>Late Night</w:t>
            </w:r>
          </w:p>
        </w:tc>
        <w:tc>
          <w:tcPr>
            <w:tcW w:type="dxa" w:w="8136"/>
            <w:tcMar>
              <w:top w:w="90" w:type="dxa"/>
              <w:start w:w="100" w:type="dxa"/>
              <w:bottom w:w="90" w:type="dxa"/>
              <w:end w:w="100" w:type="dxa"/>
            </w:tcMar>
            <w:vAlign w:val="center"/>
          </w:tcPr>
          <w:p>
            <w:pPr>
              <w:spacing w:after="0"/>
            </w:pPr>
            <w:r>
              <w:rPr>
                <w:sz w:val="16"/>
              </w:rPr>
              <w:t>Talk, comedy, news recap, acquired series, movies; personality and younger audience opportunities.</w:t>
            </w:r>
          </w:p>
        </w:tc>
      </w:tr>
    </w:tbl>
    <w:p>
      <w:pPr>
        <w:spacing w:after="0"/>
      </w:pPr>
    </w:p>
    <w:p>
      <w:pPr>
        <w:pStyle w:val="Heading2"/>
      </w:pPr>
      <w:r>
        <w:t>11.1 Interaction model</w:t>
      </w:r>
    </w:p>
    <w:p>
      <w:pPr>
        <w:pStyle w:val="ListBullet"/>
      </w:pPr>
      <w:r>
        <w:t>Drag and drop programs between cells and days.</w:t>
      </w:r>
    </w:p>
    <w:p>
      <w:pPr>
        <w:pStyle w:val="ListBullet"/>
      </w:pPr>
      <w:r>
        <w:t>Resize recurring blocks or set exact start/end time inside a daypart when needed.</w:t>
      </w:r>
    </w:p>
    <w:p>
      <w:pPr>
        <w:pStyle w:val="ListBullet"/>
      </w:pPr>
      <w:r>
        <w:t>Copy a schedule pattern across weeks, seasons, or selected days.</w:t>
      </w:r>
    </w:p>
    <w:p>
      <w:pPr>
        <w:pStyle w:val="ListBullet"/>
      </w:pPr>
      <w:r>
        <w:t>Create local, regional, affiliate, cable, and streaming schedule variants.</w:t>
      </w:r>
    </w:p>
    <w:p>
      <w:pPr>
        <w:pStyle w:val="ListBullet"/>
      </w:pPr>
      <w:r>
        <w:t>See conflicts, rights restrictions, delivery readiness, overexposed talent, production capacity, and advertiser commitments inline.</w:t>
      </w:r>
    </w:p>
    <w:p>
      <w:pPr>
        <w:pStyle w:val="ListBullet"/>
      </w:pPr>
      <w:r>
        <w:t>Overlay competitor schedules, audience forecasts, historical performance, cost, or strategic objectives.</w:t>
      </w:r>
    </w:p>
    <w:p>
      <w:pPr>
        <w:pStyle w:val="ListBullet"/>
      </w:pPr>
      <w:r>
        <w:t>Lock flagship appointments and let the programming director fill remaining inventory under policy.</w:t>
      </w:r>
    </w:p>
    <w:p>
      <w:pPr>
        <w:pStyle w:val="Heading2"/>
      </w:pPr>
      <w:r>
        <w:t>11.2 Audience flow and scheduling logic</w:t>
      </w:r>
    </w:p>
    <w:p>
      <w:r>
        <w:t>Programs affect one another. Strong lead-ins create sampling; compatible programs retain audiences; abrupt demographic changes cause leakage; stable appointments build habit; reruns can preserve share at low cost; live events can lift the entire evening; and excessive repetition creates fatigue.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1F4E79"/>
            <w:tcMar>
              <w:top w:w="90" w:type="dxa"/>
              <w:start w:w="100" w:type="dxa"/>
              <w:bottom w:w="90" w:type="dxa"/>
              <w:end w:w="100" w:type="dxa"/>
            </w:tcMar>
            <w:vAlign w:val="center"/>
          </w:tcPr>
          <w:p>
            <w:pPr>
              <w:jc w:val="center"/>
            </w:pPr>
            <w:r>
              <w:rPr>
                <w:b/>
                <w:color w:val="FFFFFF"/>
                <w:sz w:val="16"/>
              </w:rPr>
              <w:t>Mechanic</w:t>
            </w:r>
          </w:p>
        </w:tc>
        <w:tc>
          <w:tcPr>
            <w:tcW w:type="dxa" w:w="7992"/>
            <w:shd w:fill="1F4E79"/>
            <w:tcMar>
              <w:top w:w="90" w:type="dxa"/>
              <w:start w:w="100" w:type="dxa"/>
              <w:bottom w:w="90" w:type="dxa"/>
              <w:end w:w="100" w:type="dxa"/>
            </w:tcMar>
            <w:vAlign w:val="center"/>
          </w:tcPr>
          <w:p>
            <w:pPr>
              <w:jc w:val="center"/>
            </w:pPr>
            <w:r>
              <w:rPr>
                <w:b/>
                <w:color w:val="FFFFFF"/>
                <w:sz w:val="16"/>
              </w:rPr>
              <w:t>Examples</w:t>
            </w:r>
          </w:p>
        </w:tc>
      </w:tr>
      <w:tr>
        <w:trPr>
          <w:cantSplit/>
        </w:trPr>
        <w:tc>
          <w:tcPr>
            <w:tcW w:type="dxa" w:w="2088"/>
            <w:tcMar>
              <w:top w:w="90" w:type="dxa"/>
              <w:start w:w="100" w:type="dxa"/>
              <w:bottom w:w="90" w:type="dxa"/>
              <w:end w:w="100" w:type="dxa"/>
            </w:tcMar>
            <w:vAlign w:val="center"/>
          </w:tcPr>
          <w:p>
            <w:pPr>
              <w:spacing w:after="0"/>
            </w:pPr>
            <w:r>
              <w:rPr>
                <w:sz w:val="16"/>
              </w:rPr>
              <w:t>Lead-in strength</w:t>
            </w:r>
          </w:p>
        </w:tc>
        <w:tc>
          <w:tcPr>
            <w:tcW w:type="dxa" w:w="7992"/>
            <w:tcMar>
              <w:top w:w="90" w:type="dxa"/>
              <w:start w:w="100" w:type="dxa"/>
              <w:bottom w:w="90" w:type="dxa"/>
              <w:end w:w="100" w:type="dxa"/>
            </w:tcMar>
            <w:vAlign w:val="center"/>
          </w:tcPr>
          <w:p>
            <w:pPr>
              <w:spacing w:after="0"/>
            </w:pPr>
            <w:r>
              <w:rPr>
                <w:sz w:val="16"/>
              </w:rPr>
              <w:t>A hit contest introduces a new family drama to viewers who might not seek it out.</w:t>
            </w:r>
          </w:p>
        </w:tc>
      </w:tr>
      <w:tr>
        <w:trPr>
          <w:cantSplit/>
        </w:trPr>
        <w:tc>
          <w:tcPr>
            <w:tcW w:type="dxa" w:w="2088"/>
            <w:tcMar>
              <w:top w:w="90" w:type="dxa"/>
              <w:start w:w="100" w:type="dxa"/>
              <w:bottom w:w="90" w:type="dxa"/>
              <w:end w:w="100" w:type="dxa"/>
            </w:tcMar>
            <w:vAlign w:val="center"/>
          </w:tcPr>
          <w:p>
            <w:pPr>
              <w:spacing w:after="0"/>
            </w:pPr>
            <w:r>
              <w:rPr>
                <w:sz w:val="16"/>
              </w:rPr>
              <w:t>Compatibility</w:t>
            </w:r>
          </w:p>
        </w:tc>
        <w:tc>
          <w:tcPr>
            <w:tcW w:type="dxa" w:w="7992"/>
            <w:tcMar>
              <w:top w:w="90" w:type="dxa"/>
              <w:start w:w="100" w:type="dxa"/>
              <w:bottom w:w="90" w:type="dxa"/>
              <w:end w:w="100" w:type="dxa"/>
            </w:tcMar>
            <w:vAlign w:val="center"/>
          </w:tcPr>
          <w:p>
            <w:pPr>
              <w:spacing w:after="0"/>
            </w:pPr>
            <w:r>
              <w:rPr>
                <w:sz w:val="16"/>
              </w:rPr>
              <w:t>Local news into national news retains better than children’s animation into political debate.</w:t>
            </w:r>
          </w:p>
        </w:tc>
      </w:tr>
      <w:tr>
        <w:trPr>
          <w:cantSplit/>
        </w:trPr>
        <w:tc>
          <w:tcPr>
            <w:tcW w:type="dxa" w:w="2088"/>
            <w:tcMar>
              <w:top w:w="90" w:type="dxa"/>
              <w:start w:w="100" w:type="dxa"/>
              <w:bottom w:w="90" w:type="dxa"/>
              <w:end w:w="100" w:type="dxa"/>
            </w:tcMar>
            <w:vAlign w:val="center"/>
          </w:tcPr>
          <w:p>
            <w:pPr>
              <w:spacing w:after="0"/>
            </w:pPr>
            <w:r>
              <w:rPr>
                <w:sz w:val="16"/>
              </w:rPr>
              <w:t>Counterprogramming</w:t>
            </w:r>
          </w:p>
        </w:tc>
        <w:tc>
          <w:tcPr>
            <w:tcW w:type="dxa" w:w="7992"/>
            <w:tcMar>
              <w:top w:w="90" w:type="dxa"/>
              <w:start w:w="100" w:type="dxa"/>
              <w:bottom w:w="90" w:type="dxa"/>
              <w:end w:w="100" w:type="dxa"/>
            </w:tcMar>
            <w:vAlign w:val="center"/>
          </w:tcPr>
          <w:p>
            <w:pPr>
              <w:spacing w:after="0"/>
            </w:pPr>
            <w:r>
              <w:rPr>
                <w:sz w:val="16"/>
              </w:rPr>
              <w:t>A romance reality show can prosper against two networks airing male-skewing sports.</w:t>
            </w:r>
          </w:p>
        </w:tc>
      </w:tr>
      <w:tr>
        <w:trPr>
          <w:cantSplit/>
        </w:trPr>
        <w:tc>
          <w:tcPr>
            <w:tcW w:type="dxa" w:w="2088"/>
            <w:tcMar>
              <w:top w:w="90" w:type="dxa"/>
              <w:start w:w="100" w:type="dxa"/>
              <w:bottom w:w="90" w:type="dxa"/>
              <w:end w:w="100" w:type="dxa"/>
            </w:tcMar>
            <w:vAlign w:val="center"/>
          </w:tcPr>
          <w:p>
            <w:pPr>
              <w:spacing w:after="0"/>
            </w:pPr>
            <w:r>
              <w:rPr>
                <w:sz w:val="16"/>
              </w:rPr>
              <w:t>Hammocking</w:t>
            </w:r>
          </w:p>
        </w:tc>
        <w:tc>
          <w:tcPr>
            <w:tcW w:type="dxa" w:w="7992"/>
            <w:tcMar>
              <w:top w:w="90" w:type="dxa"/>
              <w:start w:w="100" w:type="dxa"/>
              <w:bottom w:w="90" w:type="dxa"/>
              <w:end w:w="100" w:type="dxa"/>
            </w:tcMar>
            <w:vAlign w:val="center"/>
          </w:tcPr>
          <w:p>
            <w:pPr>
              <w:spacing w:after="0"/>
            </w:pPr>
            <w:r>
              <w:rPr>
                <w:sz w:val="16"/>
              </w:rPr>
              <w:t>A weaker new program sits between two established hits.</w:t>
            </w:r>
          </w:p>
        </w:tc>
      </w:tr>
      <w:tr>
        <w:trPr>
          <w:cantSplit/>
        </w:trPr>
        <w:tc>
          <w:tcPr>
            <w:tcW w:type="dxa" w:w="2088"/>
            <w:tcMar>
              <w:top w:w="90" w:type="dxa"/>
              <w:start w:w="100" w:type="dxa"/>
              <w:bottom w:w="90" w:type="dxa"/>
              <w:end w:w="100" w:type="dxa"/>
            </w:tcMar>
            <w:vAlign w:val="center"/>
          </w:tcPr>
          <w:p>
            <w:pPr>
              <w:spacing w:after="0"/>
            </w:pPr>
            <w:r>
              <w:rPr>
                <w:sz w:val="16"/>
              </w:rPr>
              <w:t>Tentpoling</w:t>
            </w:r>
          </w:p>
        </w:tc>
        <w:tc>
          <w:tcPr>
            <w:tcW w:type="dxa" w:w="7992"/>
            <w:tcMar>
              <w:top w:w="90" w:type="dxa"/>
              <w:start w:w="100" w:type="dxa"/>
              <w:bottom w:w="90" w:type="dxa"/>
              <w:end w:w="100" w:type="dxa"/>
            </w:tcMar>
            <w:vAlign w:val="center"/>
          </w:tcPr>
          <w:p>
            <w:pPr>
              <w:spacing w:after="0"/>
            </w:pPr>
            <w:r>
              <w:rPr>
                <w:sz w:val="16"/>
              </w:rPr>
              <w:t>One major program anchors the evening and supports adjacent content.</w:t>
            </w:r>
          </w:p>
        </w:tc>
      </w:tr>
      <w:tr>
        <w:trPr>
          <w:cantSplit/>
        </w:trPr>
        <w:tc>
          <w:tcPr>
            <w:tcW w:type="dxa" w:w="2088"/>
            <w:tcMar>
              <w:top w:w="90" w:type="dxa"/>
              <w:start w:w="100" w:type="dxa"/>
              <w:bottom w:w="90" w:type="dxa"/>
              <w:end w:w="100" w:type="dxa"/>
            </w:tcMar>
            <w:vAlign w:val="center"/>
          </w:tcPr>
          <w:p>
            <w:pPr>
              <w:spacing w:after="0"/>
            </w:pPr>
            <w:r>
              <w:rPr>
                <w:sz w:val="16"/>
              </w:rPr>
              <w:t>Appointment habit</w:t>
            </w:r>
          </w:p>
        </w:tc>
        <w:tc>
          <w:tcPr>
            <w:tcW w:type="dxa" w:w="7992"/>
            <w:tcMar>
              <w:top w:w="90" w:type="dxa"/>
              <w:start w:w="100" w:type="dxa"/>
              <w:bottom w:w="90" w:type="dxa"/>
              <w:end w:w="100" w:type="dxa"/>
            </w:tcMar>
            <w:vAlign w:val="center"/>
          </w:tcPr>
          <w:p>
            <w:pPr>
              <w:spacing w:after="0"/>
            </w:pPr>
            <w:r>
              <w:rPr>
                <w:sz w:val="16"/>
              </w:rPr>
              <w:t>Consistent day and time improves return rate and brand memory.</w:t>
            </w:r>
          </w:p>
        </w:tc>
      </w:tr>
      <w:tr>
        <w:trPr>
          <w:cantSplit/>
        </w:trPr>
        <w:tc>
          <w:tcPr>
            <w:tcW w:type="dxa" w:w="2088"/>
            <w:tcMar>
              <w:top w:w="90" w:type="dxa"/>
              <w:start w:w="100" w:type="dxa"/>
              <w:bottom w:w="90" w:type="dxa"/>
              <w:end w:w="100" w:type="dxa"/>
            </w:tcMar>
            <w:vAlign w:val="center"/>
          </w:tcPr>
          <w:p>
            <w:pPr>
              <w:spacing w:after="0"/>
            </w:pPr>
            <w:r>
              <w:rPr>
                <w:sz w:val="16"/>
              </w:rPr>
              <w:t>Fatigue and cannibalization</w:t>
            </w:r>
          </w:p>
        </w:tc>
        <w:tc>
          <w:tcPr>
            <w:tcW w:type="dxa" w:w="7992"/>
            <w:tcMar>
              <w:top w:w="90" w:type="dxa"/>
              <w:start w:w="100" w:type="dxa"/>
              <w:bottom w:w="90" w:type="dxa"/>
              <w:end w:w="100" w:type="dxa"/>
            </w:tcMar>
            <w:vAlign w:val="center"/>
          </w:tcPr>
          <w:p>
            <w:pPr>
              <w:spacing w:after="0"/>
            </w:pPr>
            <w:r>
              <w:rPr>
                <w:sz w:val="16"/>
              </w:rPr>
              <w:t>Too many similar franchises or too much of one personality reduce marginal performance.</w:t>
            </w:r>
          </w:p>
        </w:tc>
      </w:tr>
    </w:tbl>
    <w:p>
      <w:pPr>
        <w:spacing w:after="0"/>
      </w:pPr>
    </w:p>
    <w:p>
      <w:pPr>
        <w:pStyle w:val="Heading1"/>
      </w:pPr>
      <w:r>
        <w:t>12. Talent, Employees, Rarity, and Specialization</w:t>
      </w:r>
    </w:p>
    <w:p>
      <w:r>
        <w:t>Every meaningful person has rarity, general professional quality, role-specific skills, style, personality, reputation, cost, availability, relationships, and career history. Rarity represents long-term ceiling and scarcity; it does not guarantee success in an unsuitable job.</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16"/>
            <w:shd w:fill="1F4E79"/>
            <w:tcMar>
              <w:top w:w="90" w:type="dxa"/>
              <w:start w:w="100" w:type="dxa"/>
              <w:bottom w:w="90" w:type="dxa"/>
              <w:end w:w="100" w:type="dxa"/>
            </w:tcMar>
            <w:vAlign w:val="center"/>
          </w:tcPr>
          <w:p>
            <w:pPr>
              <w:jc w:val="center"/>
            </w:pPr>
            <w:r>
              <w:rPr>
                <w:b/>
                <w:color w:val="FFFFFF"/>
                <w:sz w:val="17"/>
              </w:rPr>
              <w:t>Rarity</w:t>
            </w:r>
          </w:p>
        </w:tc>
        <w:tc>
          <w:tcPr>
            <w:tcW w:type="dxa" w:w="8064"/>
            <w:shd w:fill="1F4E79"/>
            <w:tcMar>
              <w:top w:w="90" w:type="dxa"/>
              <w:start w:w="100" w:type="dxa"/>
              <w:bottom w:w="90" w:type="dxa"/>
              <w:end w:w="100" w:type="dxa"/>
            </w:tcMar>
            <w:vAlign w:val="center"/>
          </w:tcPr>
          <w:p>
            <w:pPr>
              <w:jc w:val="center"/>
            </w:pPr>
            <w:r>
              <w:rPr>
                <w:b/>
                <w:color w:val="FFFFFF"/>
                <w:sz w:val="17"/>
              </w:rPr>
              <w:t>Interpretation</w:t>
            </w:r>
          </w:p>
        </w:tc>
      </w:tr>
      <w:tr>
        <w:trPr>
          <w:cantSplit/>
        </w:trPr>
        <w:tc>
          <w:tcPr>
            <w:tcW w:type="dxa" w:w="2016"/>
            <w:tcMar>
              <w:top w:w="90" w:type="dxa"/>
              <w:start w:w="100" w:type="dxa"/>
              <w:bottom w:w="90" w:type="dxa"/>
              <w:end w:w="100" w:type="dxa"/>
            </w:tcMar>
            <w:vAlign w:val="center"/>
          </w:tcPr>
          <w:p>
            <w:pPr>
              <w:spacing w:after="0"/>
            </w:pPr>
            <w:r>
              <w:rPr>
                <w:sz w:val="17"/>
              </w:rPr>
              <w:t>Generational</w:t>
            </w:r>
          </w:p>
        </w:tc>
        <w:tc>
          <w:tcPr>
            <w:tcW w:type="dxa" w:w="8064"/>
            <w:tcMar>
              <w:top w:w="90" w:type="dxa"/>
              <w:start w:w="100" w:type="dxa"/>
              <w:bottom w:w="90" w:type="dxa"/>
              <w:end w:w="100" w:type="dxa"/>
            </w:tcMar>
            <w:vAlign w:val="center"/>
          </w:tcPr>
          <w:p>
            <w:pPr>
              <w:spacing w:after="0"/>
            </w:pPr>
            <w:r>
              <w:rPr>
                <w:sz w:val="17"/>
              </w:rPr>
              <w:t>Industry-defining potential or proven historical greatness; extremely rare.</w:t>
            </w:r>
          </w:p>
        </w:tc>
      </w:tr>
      <w:tr>
        <w:trPr>
          <w:cantSplit/>
        </w:trPr>
        <w:tc>
          <w:tcPr>
            <w:tcW w:type="dxa" w:w="2016"/>
            <w:tcMar>
              <w:top w:w="90" w:type="dxa"/>
              <w:start w:w="100" w:type="dxa"/>
              <w:bottom w:w="90" w:type="dxa"/>
              <w:end w:w="100" w:type="dxa"/>
            </w:tcMar>
            <w:vAlign w:val="center"/>
          </w:tcPr>
          <w:p>
            <w:pPr>
              <w:spacing w:after="0"/>
            </w:pPr>
            <w:r>
              <w:rPr>
                <w:sz w:val="17"/>
              </w:rPr>
              <w:t>Legend</w:t>
            </w:r>
          </w:p>
        </w:tc>
        <w:tc>
          <w:tcPr>
            <w:tcW w:type="dxa" w:w="8064"/>
            <w:tcMar>
              <w:top w:w="90" w:type="dxa"/>
              <w:start w:w="100" w:type="dxa"/>
              <w:bottom w:w="90" w:type="dxa"/>
              <w:end w:w="100" w:type="dxa"/>
            </w:tcMar>
            <w:vAlign w:val="center"/>
          </w:tcPr>
          <w:p>
            <w:pPr>
              <w:spacing w:after="0"/>
            </w:pPr>
            <w:r>
              <w:rPr>
                <w:sz w:val="17"/>
              </w:rPr>
              <w:t>Elite talent capable of leading major institutions or iconic programs.</w:t>
            </w:r>
          </w:p>
        </w:tc>
      </w:tr>
      <w:tr>
        <w:trPr>
          <w:cantSplit/>
        </w:trPr>
        <w:tc>
          <w:tcPr>
            <w:tcW w:type="dxa" w:w="2016"/>
            <w:tcMar>
              <w:top w:w="90" w:type="dxa"/>
              <w:start w:w="100" w:type="dxa"/>
              <w:bottom w:w="90" w:type="dxa"/>
              <w:end w:w="100" w:type="dxa"/>
            </w:tcMar>
            <w:vAlign w:val="center"/>
          </w:tcPr>
          <w:p>
            <w:pPr>
              <w:spacing w:after="0"/>
            </w:pPr>
            <w:r>
              <w:rPr>
                <w:sz w:val="17"/>
              </w:rPr>
              <w:t>Epic</w:t>
            </w:r>
          </w:p>
        </w:tc>
        <w:tc>
          <w:tcPr>
            <w:tcW w:type="dxa" w:w="8064"/>
            <w:tcMar>
              <w:top w:w="90" w:type="dxa"/>
              <w:start w:w="100" w:type="dxa"/>
              <w:bottom w:w="90" w:type="dxa"/>
              <w:end w:w="100" w:type="dxa"/>
            </w:tcMar>
            <w:vAlign w:val="center"/>
          </w:tcPr>
          <w:p>
            <w:pPr>
              <w:spacing w:after="0"/>
            </w:pPr>
            <w:r>
              <w:rPr>
                <w:sz w:val="17"/>
              </w:rPr>
              <w:t>Top-tier national or major-market professional.</w:t>
            </w:r>
          </w:p>
        </w:tc>
      </w:tr>
      <w:tr>
        <w:trPr>
          <w:cantSplit/>
        </w:trPr>
        <w:tc>
          <w:tcPr>
            <w:tcW w:type="dxa" w:w="2016"/>
            <w:tcMar>
              <w:top w:w="90" w:type="dxa"/>
              <w:start w:w="100" w:type="dxa"/>
              <w:bottom w:w="90" w:type="dxa"/>
              <w:end w:w="100" w:type="dxa"/>
            </w:tcMar>
            <w:vAlign w:val="center"/>
          </w:tcPr>
          <w:p>
            <w:pPr>
              <w:spacing w:after="0"/>
            </w:pPr>
            <w:r>
              <w:rPr>
                <w:sz w:val="17"/>
              </w:rPr>
              <w:t>Rare</w:t>
            </w:r>
          </w:p>
        </w:tc>
        <w:tc>
          <w:tcPr>
            <w:tcW w:type="dxa" w:w="8064"/>
            <w:tcMar>
              <w:top w:w="90" w:type="dxa"/>
              <w:start w:w="100" w:type="dxa"/>
              <w:bottom w:w="90" w:type="dxa"/>
              <w:end w:w="100" w:type="dxa"/>
            </w:tcMar>
            <w:vAlign w:val="center"/>
          </w:tcPr>
          <w:p>
            <w:pPr>
              <w:spacing w:after="0"/>
            </w:pPr>
            <w:r>
              <w:rPr>
                <w:sz w:val="17"/>
              </w:rPr>
              <w:t>Strong professional with clear strengths and meaningful market value.</w:t>
            </w:r>
          </w:p>
        </w:tc>
      </w:tr>
      <w:tr>
        <w:trPr>
          <w:cantSplit/>
        </w:trPr>
        <w:tc>
          <w:tcPr>
            <w:tcW w:type="dxa" w:w="2016"/>
            <w:tcMar>
              <w:top w:w="90" w:type="dxa"/>
              <w:start w:w="100" w:type="dxa"/>
              <w:bottom w:w="90" w:type="dxa"/>
              <w:end w:w="100" w:type="dxa"/>
            </w:tcMar>
            <w:vAlign w:val="center"/>
          </w:tcPr>
          <w:p>
            <w:pPr>
              <w:spacing w:after="0"/>
            </w:pPr>
            <w:r>
              <w:rPr>
                <w:sz w:val="17"/>
              </w:rPr>
              <w:t>Uncommon</w:t>
            </w:r>
          </w:p>
        </w:tc>
        <w:tc>
          <w:tcPr>
            <w:tcW w:type="dxa" w:w="8064"/>
            <w:tcMar>
              <w:top w:w="90" w:type="dxa"/>
              <w:start w:w="100" w:type="dxa"/>
              <w:bottom w:w="90" w:type="dxa"/>
              <w:end w:w="100" w:type="dxa"/>
            </w:tcMar>
            <w:vAlign w:val="center"/>
          </w:tcPr>
          <w:p>
            <w:pPr>
              <w:spacing w:after="0"/>
            </w:pPr>
            <w:r>
              <w:rPr>
                <w:sz w:val="17"/>
              </w:rPr>
              <w:t>Reliable specialist or emerging talent.</w:t>
            </w:r>
          </w:p>
        </w:tc>
      </w:tr>
      <w:tr>
        <w:trPr>
          <w:cantSplit/>
        </w:trPr>
        <w:tc>
          <w:tcPr>
            <w:tcW w:type="dxa" w:w="2016"/>
            <w:tcMar>
              <w:top w:w="90" w:type="dxa"/>
              <w:start w:w="100" w:type="dxa"/>
              <w:bottom w:w="90" w:type="dxa"/>
              <w:end w:w="100" w:type="dxa"/>
            </w:tcMar>
            <w:vAlign w:val="center"/>
          </w:tcPr>
          <w:p>
            <w:pPr>
              <w:spacing w:after="0"/>
            </w:pPr>
            <w:r>
              <w:rPr>
                <w:sz w:val="17"/>
              </w:rPr>
              <w:t>Common</w:t>
            </w:r>
          </w:p>
        </w:tc>
        <w:tc>
          <w:tcPr>
            <w:tcW w:type="dxa" w:w="8064"/>
            <w:tcMar>
              <w:top w:w="90" w:type="dxa"/>
              <w:start w:w="100" w:type="dxa"/>
              <w:bottom w:w="90" w:type="dxa"/>
              <w:end w:w="100" w:type="dxa"/>
            </w:tcMar>
            <w:vAlign w:val="center"/>
          </w:tcPr>
          <w:p>
            <w:pPr>
              <w:spacing w:after="0"/>
            </w:pPr>
            <w:r>
              <w:rPr>
                <w:sz w:val="17"/>
              </w:rPr>
              <w:t>Ordinary working professional; useful with the right fit, development, and system.</w:t>
            </w:r>
          </w:p>
        </w:tc>
      </w:tr>
    </w:tbl>
    <w:p>
      <w:pPr>
        <w:spacing w:after="0"/>
      </w:pPr>
    </w:p>
    <w:p>
      <w:pPr>
        <w:pStyle w:val="Heading2"/>
      </w:pPr>
      <w:r>
        <w:t>12.1 Professions and role families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1F4E79"/>
            <w:tcMar>
              <w:top w:w="90" w:type="dxa"/>
              <w:start w:w="100" w:type="dxa"/>
              <w:bottom w:w="90" w:type="dxa"/>
              <w:end w:w="100" w:type="dxa"/>
            </w:tcMar>
            <w:vAlign w:val="center"/>
          </w:tcPr>
          <w:p>
            <w:pPr>
              <w:jc w:val="center"/>
            </w:pPr>
            <w:r>
              <w:rPr>
                <w:b/>
                <w:color w:val="FFFFFF"/>
                <w:sz w:val="16"/>
              </w:rPr>
              <w:t>Family</w:t>
            </w:r>
          </w:p>
        </w:tc>
        <w:tc>
          <w:tcPr>
            <w:tcW w:type="dxa" w:w="7632"/>
            <w:shd w:fill="1F4E79"/>
            <w:tcMar>
              <w:top w:w="90" w:type="dxa"/>
              <w:start w:w="100" w:type="dxa"/>
              <w:bottom w:w="90" w:type="dxa"/>
              <w:end w:w="100" w:type="dxa"/>
            </w:tcMar>
            <w:vAlign w:val="center"/>
          </w:tcPr>
          <w:p>
            <w:pPr>
              <w:jc w:val="center"/>
            </w:pPr>
            <w:r>
              <w:rPr>
                <w:b/>
                <w:color w:val="FFFFFF"/>
                <w:sz w:val="16"/>
              </w:rPr>
              <w:t>Roles</w:t>
            </w:r>
          </w:p>
        </w:tc>
      </w:tr>
      <w:tr>
        <w:trPr>
          <w:cantSplit/>
        </w:trPr>
        <w:tc>
          <w:tcPr>
            <w:tcW w:type="dxa" w:w="2448"/>
            <w:tcMar>
              <w:top w:w="90" w:type="dxa"/>
              <w:start w:w="100" w:type="dxa"/>
              <w:bottom w:w="90" w:type="dxa"/>
              <w:end w:w="100" w:type="dxa"/>
            </w:tcMar>
            <w:vAlign w:val="center"/>
          </w:tcPr>
          <w:p>
            <w:pPr>
              <w:spacing w:after="0"/>
            </w:pPr>
            <w:r>
              <w:rPr>
                <w:sz w:val="16"/>
              </w:rPr>
              <w:t>On-camera performance</w:t>
            </w:r>
          </w:p>
        </w:tc>
        <w:tc>
          <w:tcPr>
            <w:tcW w:type="dxa" w:w="7632"/>
            <w:tcMar>
              <w:top w:w="90" w:type="dxa"/>
              <w:start w:w="100" w:type="dxa"/>
              <w:bottom w:w="90" w:type="dxa"/>
              <w:end w:w="100" w:type="dxa"/>
            </w:tcMar>
            <w:vAlign w:val="center"/>
          </w:tcPr>
          <w:p>
            <w:pPr>
              <w:spacing w:after="0"/>
            </w:pPr>
            <w:r>
              <w:rPr>
                <w:sz w:val="16"/>
              </w:rPr>
              <w:t>Actor, comedian, presenter, host, anchor, correspondent, analyst, expert, narrator, voice actor.</w:t>
            </w:r>
          </w:p>
        </w:tc>
      </w:tr>
      <w:tr>
        <w:trPr>
          <w:cantSplit/>
        </w:trPr>
        <w:tc>
          <w:tcPr>
            <w:tcW w:type="dxa" w:w="2448"/>
            <w:tcMar>
              <w:top w:w="90" w:type="dxa"/>
              <w:start w:w="100" w:type="dxa"/>
              <w:bottom w:w="90" w:type="dxa"/>
              <w:end w:w="100" w:type="dxa"/>
            </w:tcMar>
            <w:vAlign w:val="center"/>
          </w:tcPr>
          <w:p>
            <w:pPr>
              <w:spacing w:after="0"/>
            </w:pPr>
            <w:r>
              <w:rPr>
                <w:sz w:val="16"/>
              </w:rPr>
              <w:t>Creative leadership</w:t>
            </w:r>
          </w:p>
        </w:tc>
        <w:tc>
          <w:tcPr>
            <w:tcW w:type="dxa" w:w="7632"/>
            <w:tcMar>
              <w:top w:w="90" w:type="dxa"/>
              <w:start w:w="100" w:type="dxa"/>
              <w:bottom w:w="90" w:type="dxa"/>
              <w:end w:w="100" w:type="dxa"/>
            </w:tcMar>
            <w:vAlign w:val="center"/>
          </w:tcPr>
          <w:p>
            <w:pPr>
              <w:spacing w:after="0"/>
            </w:pPr>
            <w:r>
              <w:rPr>
                <w:sz w:val="16"/>
              </w:rPr>
              <w:t>Showrunner, head writer, writer, director, producer, executive producer, documentary filmmaker.</w:t>
            </w:r>
          </w:p>
        </w:tc>
      </w:tr>
      <w:tr>
        <w:trPr>
          <w:cantSplit/>
        </w:trPr>
        <w:tc>
          <w:tcPr>
            <w:tcW w:type="dxa" w:w="2448"/>
            <w:tcMar>
              <w:top w:w="90" w:type="dxa"/>
              <w:start w:w="100" w:type="dxa"/>
              <w:bottom w:w="90" w:type="dxa"/>
              <w:end w:w="100" w:type="dxa"/>
            </w:tcMar>
            <w:vAlign w:val="center"/>
          </w:tcPr>
          <w:p>
            <w:pPr>
              <w:spacing w:after="0"/>
            </w:pPr>
            <w:r>
              <w:rPr>
                <w:sz w:val="16"/>
              </w:rPr>
              <w:t>Production craft</w:t>
            </w:r>
          </w:p>
        </w:tc>
        <w:tc>
          <w:tcPr>
            <w:tcW w:type="dxa" w:w="7632"/>
            <w:tcMar>
              <w:top w:w="90" w:type="dxa"/>
              <w:start w:w="100" w:type="dxa"/>
              <w:bottom w:w="90" w:type="dxa"/>
              <w:end w:w="100" w:type="dxa"/>
            </w:tcMar>
            <w:vAlign w:val="center"/>
          </w:tcPr>
          <w:p>
            <w:pPr>
              <w:spacing w:after="0"/>
            </w:pPr>
            <w:r>
              <w:rPr>
                <w:sz w:val="16"/>
              </w:rPr>
              <w:t>Cinematographer, editor, composer, production designer, costume, VFX supervisor, sound, live director, technical director.</w:t>
            </w:r>
          </w:p>
        </w:tc>
      </w:tr>
      <w:tr>
        <w:trPr>
          <w:cantSplit/>
        </w:trPr>
        <w:tc>
          <w:tcPr>
            <w:tcW w:type="dxa" w:w="2448"/>
            <w:tcMar>
              <w:top w:w="90" w:type="dxa"/>
              <w:start w:w="100" w:type="dxa"/>
              <w:bottom w:w="90" w:type="dxa"/>
              <w:end w:w="100" w:type="dxa"/>
            </w:tcMar>
            <w:vAlign w:val="center"/>
          </w:tcPr>
          <w:p>
            <w:pPr>
              <w:spacing w:after="0"/>
            </w:pPr>
            <w:r>
              <w:rPr>
                <w:sz w:val="16"/>
              </w:rPr>
              <w:t>Corporate leadership</w:t>
            </w:r>
          </w:p>
        </w:tc>
        <w:tc>
          <w:tcPr>
            <w:tcW w:type="dxa" w:w="7632"/>
            <w:tcMar>
              <w:top w:w="90" w:type="dxa"/>
              <w:start w:w="100" w:type="dxa"/>
              <w:bottom w:w="90" w:type="dxa"/>
              <w:end w:w="100" w:type="dxa"/>
            </w:tcMar>
            <w:vAlign w:val="center"/>
          </w:tcPr>
          <w:p>
            <w:pPr>
              <w:spacing w:after="0"/>
            </w:pPr>
            <w:r>
              <w:rPr>
                <w:sz w:val="16"/>
              </w:rPr>
              <w:t>Programming, development, news, sports, ad sales, marketing, finance, operations, distribution, technology, legal.</w:t>
            </w:r>
          </w:p>
        </w:tc>
      </w:tr>
      <w:tr>
        <w:trPr>
          <w:cantSplit/>
        </w:trPr>
        <w:tc>
          <w:tcPr>
            <w:tcW w:type="dxa" w:w="2448"/>
            <w:tcMar>
              <w:top w:w="90" w:type="dxa"/>
              <w:start w:w="100" w:type="dxa"/>
              <w:bottom w:w="90" w:type="dxa"/>
              <w:end w:w="100" w:type="dxa"/>
            </w:tcMar>
            <w:vAlign w:val="center"/>
          </w:tcPr>
          <w:p>
            <w:pPr>
              <w:spacing w:after="0"/>
            </w:pPr>
            <w:r>
              <w:rPr>
                <w:sz w:val="16"/>
              </w:rPr>
              <w:t>Commercial and agency</w:t>
            </w:r>
          </w:p>
        </w:tc>
        <w:tc>
          <w:tcPr>
            <w:tcW w:type="dxa" w:w="7632"/>
            <w:tcMar>
              <w:top w:w="90" w:type="dxa"/>
              <w:start w:w="100" w:type="dxa"/>
              <w:bottom w:w="90" w:type="dxa"/>
              <w:end w:w="100" w:type="dxa"/>
            </w:tcMar>
            <w:vAlign w:val="center"/>
          </w:tcPr>
          <w:p>
            <w:pPr>
              <w:spacing w:after="0"/>
            </w:pPr>
            <w:r>
              <w:rPr>
                <w:sz w:val="16"/>
              </w:rPr>
              <w:t>Agent, manager, sales executive, rights negotiator, affiliate relations, sponsorship lead.</w:t>
            </w:r>
          </w:p>
        </w:tc>
      </w:tr>
    </w:tbl>
    <w:p>
      <w:pPr>
        <w:spacing w:after="0"/>
      </w:pPr>
    </w:p>
    <w:p>
      <w:pPr>
        <w:pStyle w:val="Heading2"/>
      </w:pPr>
      <w:r>
        <w:t>12.2 Specialization and fit</w:t>
      </w:r>
    </w:p>
    <w:p>
      <w:r>
        <w:t>Skills are contextual. An Epic dramatic actress may be excellent as a medical-drama lead but only average as a live host. A Rare host with exceptional improvisation and audience warmth may outperform her in a contest. Fit is calculated from profession, role, genre, tone, format, audience, production environment, and collaborators.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6"/>
              </w:rPr>
              <w:t>Specialization axis</w:t>
            </w:r>
          </w:p>
        </w:tc>
        <w:tc>
          <w:tcPr>
            <w:tcW w:type="dxa" w:w="7848"/>
            <w:shd w:fill="1F4E79"/>
            <w:tcMar>
              <w:top w:w="90" w:type="dxa"/>
              <w:start w:w="100" w:type="dxa"/>
              <w:bottom w:w="90" w:type="dxa"/>
              <w:end w:w="100" w:type="dxa"/>
            </w:tcMar>
            <w:vAlign w:val="center"/>
          </w:tcPr>
          <w:p>
            <w:pPr>
              <w:jc w:val="center"/>
            </w:pPr>
            <w:r>
              <w:rPr>
                <w:b/>
                <w:color w:val="FFFFFF"/>
                <w:sz w:val="16"/>
              </w:rPr>
              <w:t>Examples</w:t>
            </w:r>
          </w:p>
        </w:tc>
      </w:tr>
      <w:tr>
        <w:trPr>
          <w:cantSplit/>
        </w:trPr>
        <w:tc>
          <w:tcPr>
            <w:tcW w:type="dxa" w:w="2232"/>
            <w:tcMar>
              <w:top w:w="90" w:type="dxa"/>
              <w:start w:w="100" w:type="dxa"/>
              <w:bottom w:w="90" w:type="dxa"/>
              <w:end w:w="100" w:type="dxa"/>
            </w:tcMar>
            <w:vAlign w:val="center"/>
          </w:tcPr>
          <w:p>
            <w:pPr>
              <w:spacing w:after="0"/>
            </w:pPr>
            <w:r>
              <w:rPr>
                <w:sz w:val="16"/>
              </w:rPr>
              <w:t>Performance function</w:t>
            </w:r>
          </w:p>
        </w:tc>
        <w:tc>
          <w:tcPr>
            <w:tcW w:type="dxa" w:w="7848"/>
            <w:tcMar>
              <w:top w:w="90" w:type="dxa"/>
              <w:start w:w="100" w:type="dxa"/>
              <w:bottom w:w="90" w:type="dxa"/>
              <w:end w:w="100" w:type="dxa"/>
            </w:tcMar>
            <w:vAlign w:val="center"/>
          </w:tcPr>
          <w:p>
            <w:pPr>
              <w:spacing w:after="0"/>
            </w:pPr>
            <w:r>
              <w:rPr>
                <w:sz w:val="16"/>
              </w:rPr>
              <w:t>Lead actor, supporting actor, ensemble, host, anchor, interviewer, comic, analyst, narrator.</w:t>
            </w:r>
          </w:p>
        </w:tc>
      </w:tr>
      <w:tr>
        <w:trPr>
          <w:cantSplit/>
        </w:trPr>
        <w:tc>
          <w:tcPr>
            <w:tcW w:type="dxa" w:w="2232"/>
            <w:tcMar>
              <w:top w:w="90" w:type="dxa"/>
              <w:start w:w="100" w:type="dxa"/>
              <w:bottom w:w="90" w:type="dxa"/>
              <w:end w:w="100" w:type="dxa"/>
            </w:tcMar>
            <w:vAlign w:val="center"/>
          </w:tcPr>
          <w:p>
            <w:pPr>
              <w:spacing w:after="0"/>
            </w:pPr>
            <w:r>
              <w:rPr>
                <w:sz w:val="16"/>
              </w:rPr>
              <w:t>Genre</w:t>
            </w:r>
          </w:p>
        </w:tc>
        <w:tc>
          <w:tcPr>
            <w:tcW w:type="dxa" w:w="7848"/>
            <w:tcMar>
              <w:top w:w="90" w:type="dxa"/>
              <w:start w:w="100" w:type="dxa"/>
              <w:bottom w:w="90" w:type="dxa"/>
              <w:end w:w="100" w:type="dxa"/>
            </w:tcMar>
            <w:vAlign w:val="center"/>
          </w:tcPr>
          <w:p>
            <w:pPr>
              <w:spacing w:after="0"/>
            </w:pPr>
            <w:r>
              <w:rPr>
                <w:sz w:val="16"/>
              </w:rPr>
              <w:t>Drama, comedy, police, medical, historical, reality, contest, news, documentary, children, sports.</w:t>
            </w:r>
          </w:p>
        </w:tc>
      </w:tr>
      <w:tr>
        <w:trPr>
          <w:cantSplit/>
        </w:trPr>
        <w:tc>
          <w:tcPr>
            <w:tcW w:type="dxa" w:w="2232"/>
            <w:tcMar>
              <w:top w:w="90" w:type="dxa"/>
              <w:start w:w="100" w:type="dxa"/>
              <w:bottom w:w="90" w:type="dxa"/>
              <w:end w:w="100" w:type="dxa"/>
            </w:tcMar>
            <w:vAlign w:val="center"/>
          </w:tcPr>
          <w:p>
            <w:pPr>
              <w:spacing w:after="0"/>
            </w:pPr>
            <w:r>
              <w:rPr>
                <w:sz w:val="16"/>
              </w:rPr>
              <w:t>Format</w:t>
            </w:r>
          </w:p>
        </w:tc>
        <w:tc>
          <w:tcPr>
            <w:tcW w:type="dxa" w:w="7848"/>
            <w:tcMar>
              <w:top w:w="90" w:type="dxa"/>
              <w:start w:w="100" w:type="dxa"/>
              <w:bottom w:w="90" w:type="dxa"/>
              <w:end w:w="100" w:type="dxa"/>
            </w:tcMar>
            <w:vAlign w:val="center"/>
          </w:tcPr>
          <w:p>
            <w:pPr>
              <w:spacing w:after="0"/>
            </w:pPr>
            <w:r>
              <w:rPr>
                <w:sz w:val="16"/>
              </w:rPr>
              <w:t>Live, multi-camera, single-camera, serialized, procedural, daily, long-form interview, voice-over.</w:t>
            </w:r>
          </w:p>
        </w:tc>
      </w:tr>
      <w:tr>
        <w:trPr>
          <w:cantSplit/>
        </w:trPr>
        <w:tc>
          <w:tcPr>
            <w:tcW w:type="dxa" w:w="2232"/>
            <w:tcMar>
              <w:top w:w="90" w:type="dxa"/>
              <w:start w:w="100" w:type="dxa"/>
              <w:bottom w:w="90" w:type="dxa"/>
              <w:end w:w="100" w:type="dxa"/>
            </w:tcMar>
            <w:vAlign w:val="center"/>
          </w:tcPr>
          <w:p>
            <w:pPr>
              <w:spacing w:after="0"/>
            </w:pPr>
            <w:r>
              <w:rPr>
                <w:sz w:val="16"/>
              </w:rPr>
              <w:t>Audience</w:t>
            </w:r>
          </w:p>
        </w:tc>
        <w:tc>
          <w:tcPr>
            <w:tcW w:type="dxa" w:w="7848"/>
            <w:tcMar>
              <w:top w:w="90" w:type="dxa"/>
              <w:start w:w="100" w:type="dxa"/>
              <w:bottom w:w="90" w:type="dxa"/>
              <w:end w:w="100" w:type="dxa"/>
            </w:tcMar>
            <w:vAlign w:val="center"/>
          </w:tcPr>
          <w:p>
            <w:pPr>
              <w:spacing w:after="0"/>
            </w:pPr>
            <w:r>
              <w:rPr>
                <w:sz w:val="16"/>
              </w:rPr>
              <w:t>Children, family, youth, broad adult, prestige, local, political, sports fan.</w:t>
            </w:r>
          </w:p>
        </w:tc>
      </w:tr>
      <w:tr>
        <w:trPr>
          <w:cantSplit/>
        </w:trPr>
        <w:tc>
          <w:tcPr>
            <w:tcW w:type="dxa" w:w="2232"/>
            <w:tcMar>
              <w:top w:w="90" w:type="dxa"/>
              <w:start w:w="100" w:type="dxa"/>
              <w:bottom w:w="90" w:type="dxa"/>
              <w:end w:w="100" w:type="dxa"/>
            </w:tcMar>
            <w:vAlign w:val="center"/>
          </w:tcPr>
          <w:p>
            <w:pPr>
              <w:spacing w:after="0"/>
            </w:pPr>
            <w:r>
              <w:rPr>
                <w:sz w:val="16"/>
              </w:rPr>
              <w:t>Style</w:t>
            </w:r>
          </w:p>
        </w:tc>
        <w:tc>
          <w:tcPr>
            <w:tcW w:type="dxa" w:w="7848"/>
            <w:tcMar>
              <w:top w:w="90" w:type="dxa"/>
              <w:start w:w="100" w:type="dxa"/>
              <w:bottom w:w="90" w:type="dxa"/>
              <w:end w:w="100" w:type="dxa"/>
            </w:tcMar>
            <w:vAlign w:val="center"/>
          </w:tcPr>
          <w:p>
            <w:pPr>
              <w:spacing w:after="0"/>
            </w:pPr>
            <w:r>
              <w:rPr>
                <w:sz w:val="16"/>
              </w:rPr>
              <w:t>Naturalistic, theatrical, warm, authoritative, provocative, improvisational, physical, intellectual.</w:t>
            </w:r>
          </w:p>
        </w:tc>
      </w:tr>
      <w:tr>
        <w:trPr>
          <w:cantSplit/>
        </w:trPr>
        <w:tc>
          <w:tcPr>
            <w:tcW w:type="dxa" w:w="2232"/>
            <w:tcMar>
              <w:top w:w="90" w:type="dxa"/>
              <w:start w:w="100" w:type="dxa"/>
              <w:bottom w:w="90" w:type="dxa"/>
              <w:end w:w="100" w:type="dxa"/>
            </w:tcMar>
            <w:vAlign w:val="center"/>
          </w:tcPr>
          <w:p>
            <w:pPr>
              <w:spacing w:after="0"/>
            </w:pPr>
            <w:r>
              <w:rPr>
                <w:sz w:val="16"/>
              </w:rPr>
              <w:t>Scale</w:t>
            </w:r>
          </w:p>
        </w:tc>
        <w:tc>
          <w:tcPr>
            <w:tcW w:type="dxa" w:w="7848"/>
            <w:tcMar>
              <w:top w:w="90" w:type="dxa"/>
              <w:start w:w="100" w:type="dxa"/>
              <w:bottom w:w="90" w:type="dxa"/>
              <w:end w:w="100" w:type="dxa"/>
            </w:tcMar>
            <w:vAlign w:val="center"/>
          </w:tcPr>
          <w:p>
            <w:pPr>
              <w:spacing w:after="0"/>
            </w:pPr>
            <w:r>
              <w:rPr>
                <w:sz w:val="16"/>
              </w:rPr>
              <w:t>Local studio, regional live event, national prime time, premium cinematic production.</w:t>
            </w:r>
          </w:p>
        </w:tc>
      </w:tr>
    </w:tbl>
    <w:p>
      <w:pPr>
        <w:spacing w:after="0"/>
      </w:pPr>
    </w:p>
    <w:p>
      <w:pPr>
        <w:pStyle w:val="Heading2"/>
      </w:pPr>
      <w:r>
        <w:t>12.3 Learning by doing</w:t>
      </w:r>
    </w:p>
    <w:p>
      <w:r>
        <w:t>People and institutions gain experience from repeated relevant work. Experience is not an unrestricted stat increase; it improves specific competencies and reduces risks. An actress who hosts five successful seasons can become a credible host. A local newsroom that repeatedly covers severe weather becomes specialized in live emergency reporting.</w:t>
      </w:r>
    </w:p>
    <w:p>
      <w:pPr>
        <w:pStyle w:val="ListBullet"/>
      </w:pPr>
      <w:r>
        <w:t>Experience gain depends on responsibility, minutes or episodes worked, project difficulty, mentoring, feedback, and outcome quality.</w:t>
      </w:r>
    </w:p>
    <w:p>
      <w:pPr>
        <w:pStyle w:val="ListBullet"/>
      </w:pPr>
      <w:r>
        <w:t>Rarity and potential influence learning speed and ceiling, but strong Common and Uncommon specialists can become institutionally valuable.</w:t>
      </w:r>
    </w:p>
    <w:p>
      <w:pPr>
        <w:pStyle w:val="ListBullet"/>
      </w:pPr>
      <w:r>
        <w:t>Overwork, typecasting, burnout, public fatigue, and lack of challenge can offset gains.</w:t>
      </w:r>
    </w:p>
    <w:p>
      <w:pPr>
        <w:pStyle w:val="ListBullet"/>
      </w:pPr>
      <w:r>
        <w:t>Career transitions become stories: actor to host, journalist to anchor, writer to showrunner, producer to executive, athlete to analyst.</w:t>
      </w:r>
    </w:p>
    <w:p>
      <w:pPr>
        <w:pStyle w:val="Heading1"/>
      </w:pPr>
      <w:r>
        <w:t>13. Research, Facilities, and Institutional Capability</w:t>
      </w:r>
    </w:p>
    <w:p>
      <w:r>
        <w:t>The player does not begin with every content subtype, production technique, distribution system, or management tool. Research represents organizational learning, technology adoption, legal readiness, and recruitment of expertise. Facilities represent physical capacity and condition. Both can specialize the company.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1F4E79"/>
            <w:tcMar>
              <w:top w:w="90" w:type="dxa"/>
              <w:start w:w="100" w:type="dxa"/>
              <w:bottom w:w="90" w:type="dxa"/>
              <w:end w:w="100" w:type="dxa"/>
            </w:tcMar>
            <w:vAlign w:val="center"/>
          </w:tcPr>
          <w:p>
            <w:pPr>
              <w:jc w:val="center"/>
            </w:pPr>
            <w:r>
              <w:rPr>
                <w:b/>
                <w:color w:val="FFFFFF"/>
                <w:sz w:val="16"/>
              </w:rPr>
              <w:t>Research domain</w:t>
            </w:r>
          </w:p>
        </w:tc>
        <w:tc>
          <w:tcPr>
            <w:tcW w:type="dxa" w:w="7776"/>
            <w:shd w:fill="1F4E79"/>
            <w:tcMar>
              <w:top w:w="90" w:type="dxa"/>
              <w:start w:w="100" w:type="dxa"/>
              <w:bottom w:w="90" w:type="dxa"/>
              <w:end w:w="100" w:type="dxa"/>
            </w:tcMar>
            <w:vAlign w:val="center"/>
          </w:tcPr>
          <w:p>
            <w:pPr>
              <w:jc w:val="center"/>
            </w:pPr>
            <w:r>
              <w:rPr>
                <w:b/>
                <w:color w:val="FFFFFF"/>
                <w:sz w:val="16"/>
              </w:rPr>
              <w:t>Example unlocks</w:t>
            </w:r>
          </w:p>
        </w:tc>
      </w:tr>
      <w:tr>
        <w:trPr>
          <w:cantSplit/>
        </w:trPr>
        <w:tc>
          <w:tcPr>
            <w:tcW w:type="dxa" w:w="2304"/>
            <w:tcMar>
              <w:top w:w="90" w:type="dxa"/>
              <w:start w:w="100" w:type="dxa"/>
              <w:bottom w:w="90" w:type="dxa"/>
              <w:end w:w="100" w:type="dxa"/>
            </w:tcMar>
            <w:vAlign w:val="center"/>
          </w:tcPr>
          <w:p>
            <w:pPr>
              <w:spacing w:after="0"/>
            </w:pPr>
            <w:r>
              <w:rPr>
                <w:sz w:val="16"/>
              </w:rPr>
              <w:t>Content development</w:t>
            </w:r>
          </w:p>
        </w:tc>
        <w:tc>
          <w:tcPr>
            <w:tcW w:type="dxa" w:w="7776"/>
            <w:tcMar>
              <w:top w:w="90" w:type="dxa"/>
              <w:start w:w="100" w:type="dxa"/>
              <w:bottom w:w="90" w:type="dxa"/>
              <w:end w:w="100" w:type="dxa"/>
            </w:tcMar>
            <w:vAlign w:val="center"/>
          </w:tcPr>
          <w:p>
            <w:pPr>
              <w:spacing w:after="0"/>
            </w:pPr>
            <w:r>
              <w:rPr>
                <w:sz w:val="16"/>
              </w:rPr>
              <w:t>Serialized drama, premium documentary, survival reality, physical contests, animation, children, investigative news, prestige historical production.</w:t>
            </w:r>
          </w:p>
        </w:tc>
      </w:tr>
      <w:tr>
        <w:trPr>
          <w:cantSplit/>
        </w:trPr>
        <w:tc>
          <w:tcPr>
            <w:tcW w:type="dxa" w:w="2304"/>
            <w:tcMar>
              <w:top w:w="90" w:type="dxa"/>
              <w:start w:w="100" w:type="dxa"/>
              <w:bottom w:w="90" w:type="dxa"/>
              <w:end w:w="100" w:type="dxa"/>
            </w:tcMar>
            <w:vAlign w:val="center"/>
          </w:tcPr>
          <w:p>
            <w:pPr>
              <w:spacing w:after="0"/>
            </w:pPr>
            <w:r>
              <w:rPr>
                <w:sz w:val="16"/>
              </w:rPr>
              <w:t>Production technology</w:t>
            </w:r>
          </w:p>
        </w:tc>
        <w:tc>
          <w:tcPr>
            <w:tcW w:type="dxa" w:w="7776"/>
            <w:tcMar>
              <w:top w:w="90" w:type="dxa"/>
              <w:start w:w="100" w:type="dxa"/>
              <w:bottom w:w="90" w:type="dxa"/>
              <w:end w:w="100" w:type="dxa"/>
            </w:tcMar>
            <w:vAlign w:val="center"/>
          </w:tcPr>
          <w:p>
            <w:pPr>
              <w:spacing w:after="0"/>
            </w:pPr>
            <w:r>
              <w:rPr>
                <w:sz w:val="16"/>
              </w:rPr>
              <w:t>HD/4K, mobile live units, virtual production, advanced VFX/CGX, remote production, audience testing, digital editing, archive restoration.</w:t>
            </w:r>
          </w:p>
        </w:tc>
      </w:tr>
      <w:tr>
        <w:trPr>
          <w:cantSplit/>
        </w:trPr>
        <w:tc>
          <w:tcPr>
            <w:tcW w:type="dxa" w:w="2304"/>
            <w:tcMar>
              <w:top w:w="90" w:type="dxa"/>
              <w:start w:w="100" w:type="dxa"/>
              <w:bottom w:w="90" w:type="dxa"/>
              <w:end w:w="100" w:type="dxa"/>
            </w:tcMar>
            <w:vAlign w:val="center"/>
          </w:tcPr>
          <w:p>
            <w:pPr>
              <w:spacing w:after="0"/>
            </w:pPr>
            <w:r>
              <w:rPr>
                <w:sz w:val="16"/>
              </w:rPr>
              <w:t>Distribution</w:t>
            </w:r>
          </w:p>
        </w:tc>
        <w:tc>
          <w:tcPr>
            <w:tcW w:type="dxa" w:w="7776"/>
            <w:tcMar>
              <w:top w:w="90" w:type="dxa"/>
              <w:start w:w="100" w:type="dxa"/>
              <w:bottom w:w="90" w:type="dxa"/>
              <w:end w:w="100" w:type="dxa"/>
            </w:tcMar>
            <w:vAlign w:val="center"/>
          </w:tcPr>
          <w:p>
            <w:pPr>
              <w:spacing w:after="0"/>
            </w:pPr>
            <w:r>
              <w:rPr>
                <w:sz w:val="16"/>
              </w:rPr>
              <w:t>Repeaters, affiliate operations, cable uplink, national ad insertion, streaming platform, FAST channels, personalization, multi-language delivery.</w:t>
            </w:r>
          </w:p>
        </w:tc>
      </w:tr>
      <w:tr>
        <w:trPr>
          <w:cantSplit/>
        </w:trPr>
        <w:tc>
          <w:tcPr>
            <w:tcW w:type="dxa" w:w="2304"/>
            <w:tcMar>
              <w:top w:w="90" w:type="dxa"/>
              <w:start w:w="100" w:type="dxa"/>
              <w:bottom w:w="90" w:type="dxa"/>
              <w:end w:w="100" w:type="dxa"/>
            </w:tcMar>
            <w:vAlign w:val="center"/>
          </w:tcPr>
          <w:p>
            <w:pPr>
              <w:spacing w:after="0"/>
            </w:pPr>
            <w:r>
              <w:rPr>
                <w:sz w:val="16"/>
              </w:rPr>
              <w:t>Commercial systems</w:t>
            </w:r>
          </w:p>
        </w:tc>
        <w:tc>
          <w:tcPr>
            <w:tcW w:type="dxa" w:w="7776"/>
            <w:tcMar>
              <w:top w:w="90" w:type="dxa"/>
              <w:start w:w="100" w:type="dxa"/>
              <w:bottom w:w="90" w:type="dxa"/>
              <w:end w:w="100" w:type="dxa"/>
            </w:tcMar>
            <w:vAlign w:val="center"/>
          </w:tcPr>
          <w:p>
            <w:pPr>
              <w:spacing w:after="0"/>
            </w:pPr>
            <w:r>
              <w:rPr>
                <w:sz w:val="16"/>
              </w:rPr>
              <w:t>Dynamic ad inventory, national sales, sponsorship packages, programmatic ads, subscriber analytics, international licensing.</w:t>
            </w:r>
          </w:p>
        </w:tc>
      </w:tr>
      <w:tr>
        <w:trPr>
          <w:cantSplit/>
        </w:trPr>
        <w:tc>
          <w:tcPr>
            <w:tcW w:type="dxa" w:w="2304"/>
            <w:tcMar>
              <w:top w:w="90" w:type="dxa"/>
              <w:start w:w="100" w:type="dxa"/>
              <w:bottom w:w="90" w:type="dxa"/>
              <w:end w:w="100" w:type="dxa"/>
            </w:tcMar>
            <w:vAlign w:val="center"/>
          </w:tcPr>
          <w:p>
            <w:pPr>
              <w:spacing w:after="0"/>
            </w:pPr>
            <w:r>
              <w:rPr>
                <w:sz w:val="16"/>
              </w:rPr>
              <w:t>Corporate capability</w:t>
            </w:r>
          </w:p>
        </w:tc>
        <w:tc>
          <w:tcPr>
            <w:tcW w:type="dxa" w:w="7776"/>
            <w:tcMar>
              <w:top w:w="90" w:type="dxa"/>
              <w:start w:w="100" w:type="dxa"/>
              <w:bottom w:w="90" w:type="dxa"/>
              <w:end w:w="100" w:type="dxa"/>
            </w:tcMar>
            <w:vAlign w:val="center"/>
          </w:tcPr>
          <w:p>
            <w:pPr>
              <w:spacing w:after="0"/>
            </w:pPr>
            <w:r>
              <w:rPr>
                <w:sz w:val="16"/>
              </w:rPr>
              <w:t>Regional operations, complex rights management, union productions, safety, compliance, crisis management, advanced forecasting.</w:t>
            </w:r>
          </w:p>
        </w:tc>
      </w:tr>
    </w:tbl>
    <w:p>
      <w:pPr>
        <w:spacing w:after="0"/>
      </w:pPr>
    </w:p>
    <w:p>
      <w:pPr>
        <w:pStyle w:val="Heading2"/>
      </w:pPr>
      <w:r>
        <w:t>13.1 Facilities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shd w:fill="1F4E79"/>
            <w:tcMar>
              <w:top w:w="90" w:type="dxa"/>
              <w:start w:w="100" w:type="dxa"/>
              <w:bottom w:w="90" w:type="dxa"/>
              <w:end w:w="100" w:type="dxa"/>
            </w:tcMar>
            <w:vAlign w:val="center"/>
          </w:tcPr>
          <w:p>
            <w:pPr>
              <w:jc w:val="center"/>
            </w:pPr>
            <w:r>
              <w:rPr>
                <w:b/>
                <w:color w:val="FFFFFF"/>
                <w:sz w:val="16"/>
              </w:rPr>
              <w:t>Facility</w:t>
            </w:r>
          </w:p>
        </w:tc>
        <w:tc>
          <w:tcPr>
            <w:tcW w:type="dxa" w:w="3816"/>
            <w:shd w:fill="1F4E79"/>
            <w:tcMar>
              <w:top w:w="90" w:type="dxa"/>
              <w:start w:w="100" w:type="dxa"/>
              <w:bottom w:w="90" w:type="dxa"/>
              <w:end w:w="100" w:type="dxa"/>
            </w:tcMar>
            <w:vAlign w:val="center"/>
          </w:tcPr>
          <w:p>
            <w:pPr>
              <w:jc w:val="center"/>
            </w:pPr>
            <w:r>
              <w:rPr>
                <w:b/>
                <w:color w:val="FFFFFF"/>
                <w:sz w:val="16"/>
              </w:rPr>
              <w:t>What it enables</w:t>
            </w:r>
          </w:p>
        </w:tc>
        <w:tc>
          <w:tcPr>
            <w:tcW w:type="dxa" w:w="4248"/>
            <w:shd w:fill="1F4E79"/>
            <w:tcMar>
              <w:top w:w="90" w:type="dxa"/>
              <w:start w:w="100" w:type="dxa"/>
              <w:bottom w:w="90" w:type="dxa"/>
              <w:end w:w="100" w:type="dxa"/>
            </w:tcMar>
            <w:vAlign w:val="center"/>
          </w:tcPr>
          <w:p>
            <w:pPr>
              <w:jc w:val="center"/>
            </w:pPr>
            <w:r>
              <w:rPr>
                <w:b/>
                <w:color w:val="FFFFFF"/>
                <w:sz w:val="16"/>
              </w:rPr>
              <w:t>Key dimensions</w:t>
            </w:r>
          </w:p>
        </w:tc>
      </w:tr>
      <w:tr>
        <w:trPr>
          <w:cantSplit/>
        </w:trPr>
        <w:tc>
          <w:tcPr>
            <w:tcW w:type="dxa" w:w="2016"/>
            <w:tcMar>
              <w:top w:w="90" w:type="dxa"/>
              <w:start w:w="100" w:type="dxa"/>
              <w:bottom w:w="90" w:type="dxa"/>
              <w:end w:w="100" w:type="dxa"/>
            </w:tcMar>
            <w:vAlign w:val="center"/>
          </w:tcPr>
          <w:p>
            <w:pPr>
              <w:spacing w:after="0"/>
            </w:pPr>
            <w:r>
              <w:rPr>
                <w:sz w:val="16"/>
              </w:rPr>
              <w:t>Studios</w:t>
            </w:r>
          </w:p>
        </w:tc>
        <w:tc>
          <w:tcPr>
            <w:tcW w:type="dxa" w:w="3816"/>
            <w:tcMar>
              <w:top w:w="90" w:type="dxa"/>
              <w:start w:w="100" w:type="dxa"/>
              <w:bottom w:w="90" w:type="dxa"/>
              <w:end w:w="100" w:type="dxa"/>
            </w:tcMar>
            <w:vAlign w:val="center"/>
          </w:tcPr>
          <w:p>
            <w:pPr>
              <w:spacing w:after="0"/>
            </w:pPr>
            <w:r>
              <w:rPr>
                <w:sz w:val="16"/>
              </w:rPr>
              <w:t>News, talk, contests, multi-camera comedy, virtual production</w:t>
            </w:r>
          </w:p>
        </w:tc>
        <w:tc>
          <w:tcPr>
            <w:tcW w:type="dxa" w:w="4248"/>
            <w:tcMar>
              <w:top w:w="90" w:type="dxa"/>
              <w:start w:w="100" w:type="dxa"/>
              <w:bottom w:w="90" w:type="dxa"/>
              <w:end w:w="100" w:type="dxa"/>
            </w:tcMar>
            <w:vAlign w:val="center"/>
          </w:tcPr>
          <w:p>
            <w:pPr>
              <w:spacing w:after="0"/>
            </w:pPr>
            <w:r>
              <w:rPr>
                <w:sz w:val="16"/>
              </w:rPr>
              <w:t>Size, audience capacity, technology, soundproofing, condition</w:t>
            </w:r>
          </w:p>
        </w:tc>
      </w:tr>
      <w:tr>
        <w:trPr>
          <w:cantSplit/>
        </w:trPr>
        <w:tc>
          <w:tcPr>
            <w:tcW w:type="dxa" w:w="2016"/>
            <w:tcMar>
              <w:top w:w="90" w:type="dxa"/>
              <w:start w:w="100" w:type="dxa"/>
              <w:bottom w:w="90" w:type="dxa"/>
              <w:end w:w="100" w:type="dxa"/>
            </w:tcMar>
            <w:vAlign w:val="center"/>
          </w:tcPr>
          <w:p>
            <w:pPr>
              <w:spacing w:after="0"/>
            </w:pPr>
            <w:r>
              <w:rPr>
                <w:sz w:val="16"/>
              </w:rPr>
              <w:t>Newsroom</w:t>
            </w:r>
          </w:p>
        </w:tc>
        <w:tc>
          <w:tcPr>
            <w:tcW w:type="dxa" w:w="3816"/>
            <w:tcMar>
              <w:top w:w="90" w:type="dxa"/>
              <w:start w:w="100" w:type="dxa"/>
              <w:bottom w:w="90" w:type="dxa"/>
              <w:end w:w="100" w:type="dxa"/>
            </w:tcMar>
            <w:vAlign w:val="center"/>
          </w:tcPr>
          <w:p>
            <w:pPr>
              <w:spacing w:after="0"/>
            </w:pPr>
            <w:r>
              <w:rPr>
                <w:sz w:val="16"/>
              </w:rPr>
              <w:t>Reporting, editing, assignment desk, live coverage</w:t>
            </w:r>
          </w:p>
        </w:tc>
        <w:tc>
          <w:tcPr>
            <w:tcW w:type="dxa" w:w="4248"/>
            <w:tcMar>
              <w:top w:w="90" w:type="dxa"/>
              <w:start w:w="100" w:type="dxa"/>
              <w:bottom w:w="90" w:type="dxa"/>
              <w:end w:w="100" w:type="dxa"/>
            </w:tcMar>
            <w:vAlign w:val="center"/>
          </w:tcPr>
          <w:p>
            <w:pPr>
              <w:spacing w:after="0"/>
            </w:pPr>
            <w:r>
              <w:rPr>
                <w:sz w:val="16"/>
              </w:rPr>
              <w:t>Staff capacity, local bureaus, data, credibility, speed</w:t>
            </w:r>
          </w:p>
        </w:tc>
      </w:tr>
      <w:tr>
        <w:trPr>
          <w:cantSplit/>
        </w:trPr>
        <w:tc>
          <w:tcPr>
            <w:tcW w:type="dxa" w:w="2016"/>
            <w:tcMar>
              <w:top w:w="90" w:type="dxa"/>
              <w:start w:w="100" w:type="dxa"/>
              <w:bottom w:w="90" w:type="dxa"/>
              <w:end w:w="100" w:type="dxa"/>
            </w:tcMar>
            <w:vAlign w:val="center"/>
          </w:tcPr>
          <w:p>
            <w:pPr>
              <w:spacing w:after="0"/>
            </w:pPr>
            <w:r>
              <w:rPr>
                <w:sz w:val="16"/>
              </w:rPr>
              <w:t>Production campus</w:t>
            </w:r>
          </w:p>
        </w:tc>
        <w:tc>
          <w:tcPr>
            <w:tcW w:type="dxa" w:w="3816"/>
            <w:tcMar>
              <w:top w:w="90" w:type="dxa"/>
              <w:start w:w="100" w:type="dxa"/>
              <w:bottom w:w="90" w:type="dxa"/>
              <w:end w:w="100" w:type="dxa"/>
            </w:tcMar>
            <w:vAlign w:val="center"/>
          </w:tcPr>
          <w:p>
            <w:pPr>
              <w:spacing w:after="0"/>
            </w:pPr>
            <w:r>
              <w:rPr>
                <w:sz w:val="16"/>
              </w:rPr>
              <w:t>Sets, workshops, wardrobe, storage, rehearsal</w:t>
            </w:r>
          </w:p>
        </w:tc>
        <w:tc>
          <w:tcPr>
            <w:tcW w:type="dxa" w:w="4248"/>
            <w:tcMar>
              <w:top w:w="90" w:type="dxa"/>
              <w:start w:w="100" w:type="dxa"/>
              <w:bottom w:w="90" w:type="dxa"/>
              <w:end w:w="100" w:type="dxa"/>
            </w:tcMar>
            <w:vAlign w:val="center"/>
          </w:tcPr>
          <w:p>
            <w:pPr>
              <w:spacing w:after="0"/>
            </w:pPr>
            <w:r>
              <w:rPr>
                <w:sz w:val="16"/>
              </w:rPr>
              <w:t>Throughput, specialization, maintenance, expansion</w:t>
            </w:r>
          </w:p>
        </w:tc>
      </w:tr>
      <w:tr>
        <w:trPr>
          <w:cantSplit/>
        </w:trPr>
        <w:tc>
          <w:tcPr>
            <w:tcW w:type="dxa" w:w="2016"/>
            <w:tcMar>
              <w:top w:w="90" w:type="dxa"/>
              <w:start w:w="100" w:type="dxa"/>
              <w:bottom w:w="90" w:type="dxa"/>
              <w:end w:w="100" w:type="dxa"/>
            </w:tcMar>
            <w:vAlign w:val="center"/>
          </w:tcPr>
          <w:p>
            <w:pPr>
              <w:spacing w:after="0"/>
            </w:pPr>
            <w:r>
              <w:rPr>
                <w:sz w:val="16"/>
              </w:rPr>
              <w:t>Post-production</w:t>
            </w:r>
          </w:p>
        </w:tc>
        <w:tc>
          <w:tcPr>
            <w:tcW w:type="dxa" w:w="3816"/>
            <w:tcMar>
              <w:top w:w="90" w:type="dxa"/>
              <w:start w:w="100" w:type="dxa"/>
              <w:bottom w:w="90" w:type="dxa"/>
              <w:end w:w="100" w:type="dxa"/>
            </w:tcMar>
            <w:vAlign w:val="center"/>
          </w:tcPr>
          <w:p>
            <w:pPr>
              <w:spacing w:after="0"/>
            </w:pPr>
            <w:r>
              <w:rPr>
                <w:sz w:val="16"/>
              </w:rPr>
              <w:t>Editing, sound, color, graphics, VFX/CGX</w:t>
            </w:r>
          </w:p>
        </w:tc>
        <w:tc>
          <w:tcPr>
            <w:tcW w:type="dxa" w:w="4248"/>
            <w:tcMar>
              <w:top w:w="90" w:type="dxa"/>
              <w:start w:w="100" w:type="dxa"/>
              <w:bottom w:w="90" w:type="dxa"/>
              <w:end w:w="100" w:type="dxa"/>
            </w:tcMar>
            <w:vAlign w:val="center"/>
          </w:tcPr>
          <w:p>
            <w:pPr>
              <w:spacing w:after="0"/>
            </w:pPr>
            <w:r>
              <w:rPr>
                <w:sz w:val="16"/>
              </w:rPr>
              <w:t>Quality, speed, format support, render capacity</w:t>
            </w:r>
          </w:p>
        </w:tc>
      </w:tr>
      <w:tr>
        <w:trPr>
          <w:cantSplit/>
        </w:trPr>
        <w:tc>
          <w:tcPr>
            <w:tcW w:type="dxa" w:w="2016"/>
            <w:tcMar>
              <w:top w:w="90" w:type="dxa"/>
              <w:start w:w="100" w:type="dxa"/>
              <w:bottom w:w="90" w:type="dxa"/>
              <w:end w:w="100" w:type="dxa"/>
            </w:tcMar>
            <w:vAlign w:val="center"/>
          </w:tcPr>
          <w:p>
            <w:pPr>
              <w:spacing w:after="0"/>
            </w:pPr>
            <w:r>
              <w:rPr>
                <w:sz w:val="16"/>
              </w:rPr>
              <w:t>Transmission center</w:t>
            </w:r>
          </w:p>
        </w:tc>
        <w:tc>
          <w:tcPr>
            <w:tcW w:type="dxa" w:w="3816"/>
            <w:tcMar>
              <w:top w:w="90" w:type="dxa"/>
              <w:start w:w="100" w:type="dxa"/>
              <w:bottom w:w="90" w:type="dxa"/>
              <w:end w:w="100" w:type="dxa"/>
            </w:tcMar>
            <w:vAlign w:val="center"/>
          </w:tcPr>
          <w:p>
            <w:pPr>
              <w:spacing w:after="0"/>
            </w:pPr>
            <w:r>
              <w:rPr>
                <w:sz w:val="16"/>
              </w:rPr>
              <w:t>Signal, feeds, redundancy, regional distribution</w:t>
            </w:r>
          </w:p>
        </w:tc>
        <w:tc>
          <w:tcPr>
            <w:tcW w:type="dxa" w:w="4248"/>
            <w:tcMar>
              <w:top w:w="90" w:type="dxa"/>
              <w:start w:w="100" w:type="dxa"/>
              <w:bottom w:w="90" w:type="dxa"/>
              <w:end w:w="100" w:type="dxa"/>
            </w:tcMar>
            <w:vAlign w:val="center"/>
          </w:tcPr>
          <w:p>
            <w:pPr>
              <w:spacing w:after="0"/>
            </w:pPr>
            <w:r>
              <w:rPr>
                <w:sz w:val="16"/>
              </w:rPr>
              <w:t>Coverage, reliability, standards, disaster recovery</w:t>
            </w:r>
          </w:p>
        </w:tc>
      </w:tr>
      <w:tr>
        <w:trPr>
          <w:cantSplit/>
        </w:trPr>
        <w:tc>
          <w:tcPr>
            <w:tcW w:type="dxa" w:w="2016"/>
            <w:tcMar>
              <w:top w:w="90" w:type="dxa"/>
              <w:start w:w="100" w:type="dxa"/>
              <w:bottom w:w="90" w:type="dxa"/>
              <w:end w:w="100" w:type="dxa"/>
            </w:tcMar>
            <w:vAlign w:val="center"/>
          </w:tcPr>
          <w:p>
            <w:pPr>
              <w:spacing w:after="0"/>
            </w:pPr>
            <w:r>
              <w:rPr>
                <w:sz w:val="16"/>
              </w:rPr>
              <w:t>Data and streaming platform</w:t>
            </w:r>
          </w:p>
        </w:tc>
        <w:tc>
          <w:tcPr>
            <w:tcW w:type="dxa" w:w="3816"/>
            <w:tcMar>
              <w:top w:w="90" w:type="dxa"/>
              <w:start w:w="100" w:type="dxa"/>
              <w:bottom w:w="90" w:type="dxa"/>
              <w:end w:w="100" w:type="dxa"/>
            </w:tcMar>
            <w:vAlign w:val="center"/>
          </w:tcPr>
          <w:p>
            <w:pPr>
              <w:spacing w:after="0"/>
            </w:pPr>
            <w:r>
              <w:rPr>
                <w:sz w:val="16"/>
              </w:rPr>
              <w:t>Digital distribution and audience intelligence</w:t>
            </w:r>
          </w:p>
        </w:tc>
        <w:tc>
          <w:tcPr>
            <w:tcW w:type="dxa" w:w="4248"/>
            <w:tcMar>
              <w:top w:w="90" w:type="dxa"/>
              <w:start w:w="100" w:type="dxa"/>
              <w:bottom w:w="90" w:type="dxa"/>
              <w:end w:w="100" w:type="dxa"/>
            </w:tcMar>
            <w:vAlign w:val="center"/>
          </w:tcPr>
          <w:p>
            <w:pPr>
              <w:spacing w:after="0"/>
            </w:pPr>
            <w:r>
              <w:rPr>
                <w:sz w:val="16"/>
              </w:rPr>
              <w:t>Scale, uptime, recommendations, ad tech, privacy</w:t>
            </w:r>
          </w:p>
        </w:tc>
      </w:tr>
      <w:tr>
        <w:trPr>
          <w:cantSplit/>
        </w:trPr>
        <w:tc>
          <w:tcPr>
            <w:tcW w:type="dxa" w:w="2016"/>
            <w:tcMar>
              <w:top w:w="90" w:type="dxa"/>
              <w:start w:w="100" w:type="dxa"/>
              <w:bottom w:w="90" w:type="dxa"/>
              <w:end w:w="100" w:type="dxa"/>
            </w:tcMar>
            <w:vAlign w:val="center"/>
          </w:tcPr>
          <w:p>
            <w:pPr>
              <w:spacing w:after="0"/>
            </w:pPr>
            <w:r>
              <w:rPr>
                <w:sz w:val="16"/>
              </w:rPr>
              <w:t>Regional offices/bureaus</w:t>
            </w:r>
          </w:p>
        </w:tc>
        <w:tc>
          <w:tcPr>
            <w:tcW w:type="dxa" w:w="3816"/>
            <w:tcMar>
              <w:top w:w="90" w:type="dxa"/>
              <w:start w:w="100" w:type="dxa"/>
              <w:bottom w:w="90" w:type="dxa"/>
              <w:end w:w="100" w:type="dxa"/>
            </w:tcMar>
            <w:vAlign w:val="center"/>
          </w:tcPr>
          <w:p>
            <w:pPr>
              <w:spacing w:after="0"/>
            </w:pPr>
            <w:r>
              <w:rPr>
                <w:sz w:val="16"/>
              </w:rPr>
              <w:t>Sales, news, affiliate support, local production</w:t>
            </w:r>
          </w:p>
        </w:tc>
        <w:tc>
          <w:tcPr>
            <w:tcW w:type="dxa" w:w="4248"/>
            <w:tcMar>
              <w:top w:w="90" w:type="dxa"/>
              <w:start w:w="100" w:type="dxa"/>
              <w:bottom w:w="90" w:type="dxa"/>
              <w:end w:w="100" w:type="dxa"/>
            </w:tcMar>
            <w:vAlign w:val="center"/>
          </w:tcPr>
          <w:p>
            <w:pPr>
              <w:spacing w:after="0"/>
            </w:pPr>
            <w:r>
              <w:rPr>
                <w:sz w:val="16"/>
              </w:rPr>
              <w:t>Market knowledge, relationships, operating cost</w:t>
            </w:r>
          </w:p>
        </w:tc>
      </w:tr>
    </w:tbl>
    <w:p>
      <w:pPr>
        <w:spacing w:after="0"/>
      </w:pPr>
    </w:p>
    <w:p>
      <w:pPr>
        <w:pStyle w:val="Heading2"/>
      </w:pPr>
      <w:r>
        <w:t>13.2 Institutional specialization</w:t>
      </w:r>
    </w:p>
    <w:p>
      <w:r>
        <w:t>Networks accumulate organizational expertise. A station that repeatedly produces respected documentaries can become a documentary specialist: scripts develop faster, crews perform better, talent is more interested, critics expect quality, and costs become more predictable. Specialization is earned through staff, facilities, research, and a sustained body of work—not selected from a static perk tree.</w:t>
      </w:r>
    </w:p>
    <w:p>
      <w:pPr>
        <w:pStyle w:val="Heading1"/>
      </w:pPr>
      <w:r>
        <w:t>14. Ratings, Reviews, and Audience Behavior</w:t>
      </w:r>
    </w:p>
    <w:p>
      <w:r>
        <w:t>Results should be visible through distinct external-facing systems: a Nielsen-like ratings service for consumption, an IMDb/Rotten Tomatoes-like service for audience and critic response, and trade press for interpretation.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1F4E79"/>
            <w:tcMar>
              <w:top w:w="90" w:type="dxa"/>
              <w:start w:w="100" w:type="dxa"/>
              <w:bottom w:w="90" w:type="dxa"/>
              <w:end w:w="100" w:type="dxa"/>
            </w:tcMar>
            <w:vAlign w:val="center"/>
          </w:tcPr>
          <w:p>
            <w:pPr>
              <w:jc w:val="center"/>
            </w:pPr>
            <w:r>
              <w:rPr>
                <w:b/>
                <w:color w:val="FFFFFF"/>
                <w:sz w:val="16"/>
              </w:rPr>
              <w:t>Metric group</w:t>
            </w:r>
          </w:p>
        </w:tc>
        <w:tc>
          <w:tcPr>
            <w:tcW w:type="dxa" w:w="7920"/>
            <w:shd w:fill="1F4E79"/>
            <w:tcMar>
              <w:top w:w="90" w:type="dxa"/>
              <w:start w:w="100" w:type="dxa"/>
              <w:bottom w:w="90" w:type="dxa"/>
              <w:end w:w="100" w:type="dxa"/>
            </w:tcMar>
            <w:vAlign w:val="center"/>
          </w:tcPr>
          <w:p>
            <w:pPr>
              <w:jc w:val="center"/>
            </w:pPr>
            <w:r>
              <w:rPr>
                <w:b/>
                <w:color w:val="FFFFFF"/>
                <w:sz w:val="16"/>
              </w:rPr>
              <w:t>Measures</w:t>
            </w:r>
          </w:p>
        </w:tc>
      </w:tr>
      <w:tr>
        <w:trPr>
          <w:cantSplit/>
        </w:trPr>
        <w:tc>
          <w:tcPr>
            <w:tcW w:type="dxa" w:w="2160"/>
            <w:tcMar>
              <w:top w:w="90" w:type="dxa"/>
              <w:start w:w="100" w:type="dxa"/>
              <w:bottom w:w="90" w:type="dxa"/>
              <w:end w:w="100" w:type="dxa"/>
            </w:tcMar>
            <w:vAlign w:val="center"/>
          </w:tcPr>
          <w:p>
            <w:pPr>
              <w:spacing w:after="0"/>
            </w:pPr>
            <w:r>
              <w:rPr>
                <w:sz w:val="16"/>
              </w:rPr>
              <w:t>Linear viewing</w:t>
            </w:r>
          </w:p>
        </w:tc>
        <w:tc>
          <w:tcPr>
            <w:tcW w:type="dxa" w:w="7920"/>
            <w:tcMar>
              <w:top w:w="90" w:type="dxa"/>
              <w:start w:w="100" w:type="dxa"/>
              <w:bottom w:w="90" w:type="dxa"/>
              <w:end w:w="100" w:type="dxa"/>
            </w:tcMar>
            <w:vAlign w:val="center"/>
          </w:tcPr>
          <w:p>
            <w:pPr>
              <w:spacing w:after="0"/>
            </w:pPr>
            <w:r>
              <w:rPr>
                <w:sz w:val="16"/>
              </w:rPr>
              <w:t>Households, viewers, rating, share, demographic rating, reach, average minute audience, peak, local-market breakdown.</w:t>
            </w:r>
          </w:p>
        </w:tc>
      </w:tr>
      <w:tr>
        <w:trPr>
          <w:cantSplit/>
        </w:trPr>
        <w:tc>
          <w:tcPr>
            <w:tcW w:type="dxa" w:w="2160"/>
            <w:tcMar>
              <w:top w:w="90" w:type="dxa"/>
              <w:start w:w="100" w:type="dxa"/>
              <w:bottom w:w="90" w:type="dxa"/>
              <w:end w:w="100" w:type="dxa"/>
            </w:tcMar>
            <w:vAlign w:val="center"/>
          </w:tcPr>
          <w:p>
            <w:pPr>
              <w:spacing w:after="0"/>
            </w:pPr>
            <w:r>
              <w:rPr>
                <w:sz w:val="16"/>
              </w:rPr>
              <w:t>Streaming</w:t>
            </w:r>
          </w:p>
        </w:tc>
        <w:tc>
          <w:tcPr>
            <w:tcW w:type="dxa" w:w="7920"/>
            <w:tcMar>
              <w:top w:w="90" w:type="dxa"/>
              <w:start w:w="100" w:type="dxa"/>
              <w:bottom w:w="90" w:type="dxa"/>
              <w:end w:w="100" w:type="dxa"/>
            </w:tcMar>
            <w:vAlign w:val="center"/>
          </w:tcPr>
          <w:p>
            <w:pPr>
              <w:spacing w:after="0"/>
            </w:pPr>
            <w:r>
              <w:rPr>
                <w:sz w:val="16"/>
              </w:rPr>
              <w:t>Starts, unique viewers, completion, hours, episode progression, binge rate, acquisition, churn impact, ad-tier viewing.</w:t>
            </w:r>
          </w:p>
        </w:tc>
      </w:tr>
      <w:tr>
        <w:trPr>
          <w:cantSplit/>
        </w:trPr>
        <w:tc>
          <w:tcPr>
            <w:tcW w:type="dxa" w:w="2160"/>
            <w:tcMar>
              <w:top w:w="90" w:type="dxa"/>
              <w:start w:w="100" w:type="dxa"/>
              <w:bottom w:w="90" w:type="dxa"/>
              <w:end w:w="100" w:type="dxa"/>
            </w:tcMar>
            <w:vAlign w:val="center"/>
          </w:tcPr>
          <w:p>
            <w:pPr>
              <w:spacing w:after="0"/>
            </w:pPr>
            <w:r>
              <w:rPr>
                <w:sz w:val="16"/>
              </w:rPr>
              <w:t>Audience quality</w:t>
            </w:r>
          </w:p>
        </w:tc>
        <w:tc>
          <w:tcPr>
            <w:tcW w:type="dxa" w:w="7920"/>
            <w:tcMar>
              <w:top w:w="90" w:type="dxa"/>
              <w:start w:w="100" w:type="dxa"/>
              <w:bottom w:w="90" w:type="dxa"/>
              <w:end w:w="100" w:type="dxa"/>
            </w:tcMar>
            <w:vAlign w:val="center"/>
          </w:tcPr>
          <w:p>
            <w:pPr>
              <w:spacing w:after="0"/>
            </w:pPr>
            <w:r>
              <w:rPr>
                <w:sz w:val="16"/>
              </w:rPr>
              <w:t>Loyalty, awareness, intent to watch, satisfaction, social conversation, recommendation, brand association.</w:t>
            </w:r>
          </w:p>
        </w:tc>
      </w:tr>
      <w:tr>
        <w:trPr>
          <w:cantSplit/>
        </w:trPr>
        <w:tc>
          <w:tcPr>
            <w:tcW w:type="dxa" w:w="2160"/>
            <w:tcMar>
              <w:top w:w="90" w:type="dxa"/>
              <w:start w:w="100" w:type="dxa"/>
              <w:bottom w:w="90" w:type="dxa"/>
              <w:end w:w="100" w:type="dxa"/>
            </w:tcMar>
            <w:vAlign w:val="center"/>
          </w:tcPr>
          <w:p>
            <w:pPr>
              <w:spacing w:after="0"/>
            </w:pPr>
            <w:r>
              <w:rPr>
                <w:sz w:val="16"/>
              </w:rPr>
              <w:t>Critical response</w:t>
            </w:r>
          </w:p>
        </w:tc>
        <w:tc>
          <w:tcPr>
            <w:tcW w:type="dxa" w:w="7920"/>
            <w:tcMar>
              <w:top w:w="90" w:type="dxa"/>
              <w:start w:w="100" w:type="dxa"/>
              <w:bottom w:w="90" w:type="dxa"/>
              <w:end w:w="100" w:type="dxa"/>
            </w:tcMar>
            <w:vAlign w:val="center"/>
          </w:tcPr>
          <w:p>
            <w:pPr>
              <w:spacing w:after="0"/>
            </w:pPr>
            <w:r>
              <w:rPr>
                <w:sz w:val="16"/>
              </w:rPr>
              <w:t>Critic score, prestige, reviews, awards momentum, industry reputation.</w:t>
            </w:r>
          </w:p>
        </w:tc>
      </w:tr>
      <w:tr>
        <w:trPr>
          <w:cantSplit/>
        </w:trPr>
        <w:tc>
          <w:tcPr>
            <w:tcW w:type="dxa" w:w="2160"/>
            <w:tcMar>
              <w:top w:w="90" w:type="dxa"/>
              <w:start w:w="100" w:type="dxa"/>
              <w:bottom w:w="90" w:type="dxa"/>
              <w:end w:w="100" w:type="dxa"/>
            </w:tcMar>
            <w:vAlign w:val="center"/>
          </w:tcPr>
          <w:p>
            <w:pPr>
              <w:spacing w:after="0"/>
            </w:pPr>
            <w:r>
              <w:rPr>
                <w:sz w:val="16"/>
              </w:rPr>
              <w:t>Commercial performance</w:t>
            </w:r>
          </w:p>
        </w:tc>
        <w:tc>
          <w:tcPr>
            <w:tcW w:type="dxa" w:w="7920"/>
            <w:tcMar>
              <w:top w:w="90" w:type="dxa"/>
              <w:start w:w="100" w:type="dxa"/>
              <w:bottom w:w="90" w:type="dxa"/>
              <w:end w:w="100" w:type="dxa"/>
            </w:tcMar>
            <w:vAlign w:val="center"/>
          </w:tcPr>
          <w:p>
            <w:pPr>
              <w:spacing w:after="0"/>
            </w:pPr>
            <w:r>
              <w:rPr>
                <w:sz w:val="16"/>
              </w:rPr>
              <w:t>CPM, sell-through, sponsor interest, subscriber value, rights resale, cost per viewer, profit contribution.</w:t>
            </w:r>
          </w:p>
        </w:tc>
      </w:tr>
    </w:tbl>
    <w:p>
      <w:pPr>
        <w:spacing w:after="0"/>
      </w:pPr>
    </w:p>
    <w:p>
      <w:pPr>
        <w:pStyle w:val="Heading2"/>
      </w:pPr>
      <w:r>
        <w:t>14.1 Performance model</w:t>
      </w:r>
    </w:p>
    <w:p>
      <w:pPr>
        <w:pStyle w:val="ListBullet"/>
      </w:pPr>
      <w:r>
        <w:t>Intrinsic appeal: concept, script, production execution, cast fit, novelty, relevance, and quality.</w:t>
      </w:r>
    </w:p>
    <w:p>
      <w:pPr>
        <w:pStyle w:val="ListBullet"/>
      </w:pPr>
      <w:r>
        <w:t>Awareness and access: marketing, distribution, channel reach, platform placement, and brand expectation.</w:t>
      </w:r>
    </w:p>
    <w:p>
      <w:pPr>
        <w:pStyle w:val="ListBullet"/>
      </w:pPr>
      <w:r>
        <w:t>Scheduling: daypart, competition, lead-in, compatibility, seasonality, live events, and consistency.</w:t>
      </w:r>
    </w:p>
    <w:p>
      <w:pPr>
        <w:pStyle w:val="ListBullet"/>
      </w:pPr>
      <w:r>
        <w:t>Audience relationship: loyalty, franchise history, talent fame, controversy, fatigue, and word of mouth.</w:t>
      </w:r>
    </w:p>
    <w:p>
      <w:pPr>
        <w:pStyle w:val="ListBullet"/>
      </w:pPr>
      <w:r>
        <w:t>External context: news cycle, weather, holidays, sports conflicts, cultural trends, and competitor launches.</w:t>
      </w:r>
    </w:p>
    <w:p>
      <w:pPr>
        <w:pStyle w:val="ListBullet"/>
      </w:pPr>
      <w:r>
        <w:t>Results contain uncertainty, but the game should explain the most important drivers after each week.</w:t>
      </w:r>
    </w:p>
    <w:p>
      <w:pPr>
        <w:pStyle w:val="Heading1"/>
      </w:pPr>
      <w:r>
        <w:t>15. Advertising, Sales, and Distribution Deals</w:t>
      </w:r>
    </w:p>
    <w:p>
      <w:r>
        <w:t>The commercial organization monetizes attention and reach. The player can set sales strategy, approve major packages, and negotiate strategic partners while routine inventory is handled by sales leadership.</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1F4E79"/>
            <w:tcMar>
              <w:top w:w="90" w:type="dxa"/>
              <w:start w:w="100" w:type="dxa"/>
              <w:bottom w:w="90" w:type="dxa"/>
              <w:end w:w="100" w:type="dxa"/>
            </w:tcMar>
            <w:vAlign w:val="center"/>
          </w:tcPr>
          <w:p>
            <w:pPr>
              <w:jc w:val="center"/>
            </w:pPr>
            <w:r>
              <w:rPr>
                <w:b/>
                <w:color w:val="FFFFFF"/>
                <w:sz w:val="16"/>
              </w:rPr>
              <w:t>Commercial product</w:t>
            </w:r>
          </w:p>
        </w:tc>
        <w:tc>
          <w:tcPr>
            <w:tcW w:type="dxa" w:w="7632"/>
            <w:shd w:fill="1F4E79"/>
            <w:tcMar>
              <w:top w:w="90" w:type="dxa"/>
              <w:start w:w="100" w:type="dxa"/>
              <w:bottom w:w="90" w:type="dxa"/>
              <w:end w:w="100" w:type="dxa"/>
            </w:tcMar>
            <w:vAlign w:val="center"/>
          </w:tcPr>
          <w:p>
            <w:pPr>
              <w:jc w:val="center"/>
            </w:pPr>
            <w:r>
              <w:rPr>
                <w:b/>
                <w:color w:val="FFFFFF"/>
                <w:sz w:val="16"/>
              </w:rPr>
              <w:t>Examples</w:t>
            </w:r>
          </w:p>
        </w:tc>
      </w:tr>
      <w:tr>
        <w:trPr>
          <w:cantSplit/>
        </w:trPr>
        <w:tc>
          <w:tcPr>
            <w:tcW w:type="dxa" w:w="2448"/>
            <w:tcMar>
              <w:top w:w="90" w:type="dxa"/>
              <w:start w:w="100" w:type="dxa"/>
              <w:bottom w:w="90" w:type="dxa"/>
              <w:end w:w="100" w:type="dxa"/>
            </w:tcMar>
            <w:vAlign w:val="center"/>
          </w:tcPr>
          <w:p>
            <w:pPr>
              <w:spacing w:after="0"/>
            </w:pPr>
            <w:r>
              <w:rPr>
                <w:sz w:val="16"/>
              </w:rPr>
              <w:t>Spot advertising</w:t>
            </w:r>
          </w:p>
        </w:tc>
        <w:tc>
          <w:tcPr>
            <w:tcW w:type="dxa" w:w="7632"/>
            <w:tcMar>
              <w:top w:w="90" w:type="dxa"/>
              <w:start w:w="100" w:type="dxa"/>
              <w:bottom w:w="90" w:type="dxa"/>
              <w:end w:w="100" w:type="dxa"/>
            </w:tcMar>
            <w:vAlign w:val="center"/>
          </w:tcPr>
          <w:p>
            <w:pPr>
              <w:spacing w:after="0"/>
            </w:pPr>
            <w:r>
              <w:rPr>
                <w:sz w:val="16"/>
              </w:rPr>
              <w:t>Local and national commercial units by program, daypart, demographic, geography, or package.</w:t>
            </w:r>
          </w:p>
        </w:tc>
      </w:tr>
      <w:tr>
        <w:trPr>
          <w:cantSplit/>
        </w:trPr>
        <w:tc>
          <w:tcPr>
            <w:tcW w:type="dxa" w:w="2448"/>
            <w:tcMar>
              <w:top w:w="90" w:type="dxa"/>
              <w:start w:w="100" w:type="dxa"/>
              <w:bottom w:w="90" w:type="dxa"/>
              <w:end w:w="100" w:type="dxa"/>
            </w:tcMar>
            <w:vAlign w:val="center"/>
          </w:tcPr>
          <w:p>
            <w:pPr>
              <w:spacing w:after="0"/>
            </w:pPr>
            <w:r>
              <w:rPr>
                <w:sz w:val="16"/>
              </w:rPr>
              <w:t>Sponsorship</w:t>
            </w:r>
          </w:p>
        </w:tc>
        <w:tc>
          <w:tcPr>
            <w:tcW w:type="dxa" w:w="7632"/>
            <w:tcMar>
              <w:top w:w="90" w:type="dxa"/>
              <w:start w:w="100" w:type="dxa"/>
              <w:bottom w:w="90" w:type="dxa"/>
              <w:end w:w="100" w:type="dxa"/>
            </w:tcMar>
            <w:vAlign w:val="center"/>
          </w:tcPr>
          <w:p>
            <w:pPr>
              <w:spacing w:after="0"/>
            </w:pPr>
            <w:r>
              <w:rPr>
                <w:sz w:val="16"/>
              </w:rPr>
              <w:t>Presented-by rights, segments, scoreboards, weather, studios, contests, awards, branded specials.</w:t>
            </w:r>
          </w:p>
        </w:tc>
      </w:tr>
      <w:tr>
        <w:trPr>
          <w:cantSplit/>
        </w:trPr>
        <w:tc>
          <w:tcPr>
            <w:tcW w:type="dxa" w:w="2448"/>
            <w:tcMar>
              <w:top w:w="90" w:type="dxa"/>
              <w:start w:w="100" w:type="dxa"/>
              <w:bottom w:w="90" w:type="dxa"/>
              <w:end w:w="100" w:type="dxa"/>
            </w:tcMar>
            <w:vAlign w:val="center"/>
          </w:tcPr>
          <w:p>
            <w:pPr>
              <w:spacing w:after="0"/>
            </w:pPr>
            <w:r>
              <w:rPr>
                <w:sz w:val="16"/>
              </w:rPr>
              <w:t>Product placement</w:t>
            </w:r>
          </w:p>
        </w:tc>
        <w:tc>
          <w:tcPr>
            <w:tcW w:type="dxa" w:w="7632"/>
            <w:tcMar>
              <w:top w:w="90" w:type="dxa"/>
              <w:start w:w="100" w:type="dxa"/>
              <w:bottom w:w="90" w:type="dxa"/>
              <w:end w:w="100" w:type="dxa"/>
            </w:tcMar>
            <w:vAlign w:val="center"/>
          </w:tcPr>
          <w:p>
            <w:pPr>
              <w:spacing w:after="0"/>
            </w:pPr>
            <w:r>
              <w:rPr>
                <w:sz w:val="16"/>
              </w:rPr>
              <w:t>Integrated products, wardrobe, vehicles, sets, challenges, prizes, and story elements.</w:t>
            </w:r>
          </w:p>
        </w:tc>
      </w:tr>
      <w:tr>
        <w:trPr>
          <w:cantSplit/>
        </w:trPr>
        <w:tc>
          <w:tcPr>
            <w:tcW w:type="dxa" w:w="2448"/>
            <w:tcMar>
              <w:top w:w="90" w:type="dxa"/>
              <w:start w:w="100" w:type="dxa"/>
              <w:bottom w:w="90" w:type="dxa"/>
              <w:end w:w="100" w:type="dxa"/>
            </w:tcMar>
            <w:vAlign w:val="center"/>
          </w:tcPr>
          <w:p>
            <w:pPr>
              <w:spacing w:after="0"/>
            </w:pPr>
            <w:r>
              <w:rPr>
                <w:sz w:val="16"/>
              </w:rPr>
              <w:t>Carriage and affiliate economics</w:t>
            </w:r>
          </w:p>
        </w:tc>
        <w:tc>
          <w:tcPr>
            <w:tcW w:type="dxa" w:w="7632"/>
            <w:tcMar>
              <w:top w:w="90" w:type="dxa"/>
              <w:start w:w="100" w:type="dxa"/>
              <w:bottom w:w="90" w:type="dxa"/>
              <w:end w:w="100" w:type="dxa"/>
            </w:tcMar>
            <w:vAlign w:val="center"/>
          </w:tcPr>
          <w:p>
            <w:pPr>
              <w:spacing w:after="0"/>
            </w:pPr>
            <w:r>
              <w:rPr>
                <w:sz w:val="16"/>
              </w:rPr>
              <w:t>Subscriber fees, reverse compensation, ad-inventory splits, minimum reach, placement, marketing support.</w:t>
            </w:r>
          </w:p>
        </w:tc>
      </w:tr>
      <w:tr>
        <w:trPr>
          <w:cantSplit/>
        </w:trPr>
        <w:tc>
          <w:tcPr>
            <w:tcW w:type="dxa" w:w="2448"/>
            <w:tcMar>
              <w:top w:w="90" w:type="dxa"/>
              <w:start w:w="100" w:type="dxa"/>
              <w:bottom w:w="90" w:type="dxa"/>
              <w:end w:w="100" w:type="dxa"/>
            </w:tcMar>
            <w:vAlign w:val="center"/>
          </w:tcPr>
          <w:p>
            <w:pPr>
              <w:spacing w:after="0"/>
            </w:pPr>
            <w:r>
              <w:rPr>
                <w:sz w:val="16"/>
              </w:rPr>
              <w:t>Syndication and licensing</w:t>
            </w:r>
          </w:p>
        </w:tc>
        <w:tc>
          <w:tcPr>
            <w:tcW w:type="dxa" w:w="7632"/>
            <w:tcMar>
              <w:top w:w="90" w:type="dxa"/>
              <w:start w:w="100" w:type="dxa"/>
              <w:bottom w:w="90" w:type="dxa"/>
              <w:end w:w="100" w:type="dxa"/>
            </w:tcMar>
            <w:vAlign w:val="center"/>
          </w:tcPr>
          <w:p>
            <w:pPr>
              <w:spacing w:after="0"/>
            </w:pPr>
            <w:r>
              <w:rPr>
                <w:sz w:val="16"/>
              </w:rPr>
              <w:t>Sell shows, reruns, formats, clips, international versions, and library windows.</w:t>
            </w:r>
          </w:p>
        </w:tc>
      </w:tr>
      <w:tr>
        <w:trPr>
          <w:cantSplit/>
        </w:trPr>
        <w:tc>
          <w:tcPr>
            <w:tcW w:type="dxa" w:w="2448"/>
            <w:tcMar>
              <w:top w:w="90" w:type="dxa"/>
              <w:start w:w="100" w:type="dxa"/>
              <w:bottom w:w="90" w:type="dxa"/>
              <w:end w:w="100" w:type="dxa"/>
            </w:tcMar>
            <w:vAlign w:val="center"/>
          </w:tcPr>
          <w:p>
            <w:pPr>
              <w:spacing w:after="0"/>
            </w:pPr>
            <w:r>
              <w:rPr>
                <w:sz w:val="16"/>
              </w:rPr>
              <w:t>Subscription</w:t>
            </w:r>
          </w:p>
        </w:tc>
        <w:tc>
          <w:tcPr>
            <w:tcW w:type="dxa" w:w="7632"/>
            <w:tcMar>
              <w:top w:w="90" w:type="dxa"/>
              <w:start w:w="100" w:type="dxa"/>
              <w:bottom w:w="90" w:type="dxa"/>
              <w:end w:w="100" w:type="dxa"/>
            </w:tcMar>
            <w:vAlign w:val="center"/>
          </w:tcPr>
          <w:p>
            <w:pPr>
              <w:spacing w:after="0"/>
            </w:pPr>
            <w:r>
              <w:rPr>
                <w:sz w:val="16"/>
              </w:rPr>
              <w:t>Plans, bundles, ad-free tiers, promotions, annual pricing, partner distribution.</w:t>
            </w:r>
          </w:p>
        </w:tc>
      </w:tr>
    </w:tbl>
    <w:p>
      <w:pPr>
        <w:spacing w:after="0"/>
      </w:pPr>
    </w:p>
    <w:p>
      <w:pPr>
        <w:pStyle w:val="Heading2"/>
      </w:pPr>
      <w:r>
        <w:t>15.1 Advertiser behavior</w:t>
      </w:r>
    </w:p>
    <w:p>
      <w:r>
        <w:t>Advertisers evaluate audience size, demographic match, geographic relevance, brand safety, attention, prestige, seasonality, integration opportunities, and historical delivery. A controversial show may command a loyal audience but lose family advertisers. A small prestige drama may attract luxury brands. Local news may be valuable to regional retailers despite modest national relevance.</w:t>
      </w:r>
    </w:p>
    <w:p>
      <w:pPr>
        <w:pStyle w:val="Heading1"/>
      </w:pPr>
      <w:r>
        <w:t>16. Marketing and Brand Identity</w:t>
      </w:r>
    </w:p>
    <w:p>
      <w:pPr>
        <w:pStyle w:val="Heading2"/>
      </w:pPr>
      <w:r>
        <w:t>16.1 Program identity system</w:t>
      </w:r>
    </w:p>
    <w:p>
      <w:r>
        <w:t>Each show receives a lightweight but recognizable visual identity that can be generated from its creative brief and refined by the player. This provides immediate recognition in schedules, dashboards, rankings, and history without requiring bespoke artwork for every procedural program.</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304"/>
            <w:shd w:fill="1F4E79"/>
            <w:tcMar>
              <w:top w:w="90" w:type="dxa"/>
              <w:start w:w="100" w:type="dxa"/>
              <w:bottom w:w="90" w:type="dxa"/>
              <w:end w:w="100" w:type="dxa"/>
            </w:tcMar>
            <w:vAlign w:val="center"/>
          </w:tcPr>
          <w:p>
            <w:pPr>
              <w:jc w:val="center"/>
            </w:pPr>
            <w:r>
              <w:rPr>
                <w:b/>
                <w:color w:val="FFFFFF"/>
                <w:sz w:val="16"/>
              </w:rPr>
              <w:t>Identity element</w:t>
            </w:r>
          </w:p>
        </w:tc>
        <w:tc>
          <w:tcPr>
            <w:tcW w:type="dxa" w:w="7776"/>
            <w:shd w:fill="1F4E79"/>
            <w:tcMar>
              <w:top w:w="90" w:type="dxa"/>
              <w:start w:w="100" w:type="dxa"/>
              <w:bottom w:w="90" w:type="dxa"/>
              <w:end w:w="100" w:type="dxa"/>
            </w:tcMar>
            <w:vAlign w:val="center"/>
          </w:tcPr>
          <w:p>
            <w:pPr>
              <w:jc w:val="center"/>
            </w:pPr>
            <w:r>
              <w:rPr>
                <w:b/>
                <w:color w:val="FFFFFF"/>
                <w:sz w:val="16"/>
              </w:rPr>
              <w:t>Use</w:t>
            </w:r>
          </w:p>
        </w:tc>
      </w:tr>
      <w:tr>
        <w:trPr>
          <w:cantSplit/>
        </w:trPr>
        <w:tc>
          <w:tcPr>
            <w:tcW w:type="dxa" w:w="2304"/>
            <w:tcMar>
              <w:top w:w="90" w:type="dxa"/>
              <w:start w:w="100" w:type="dxa"/>
              <w:bottom w:w="90" w:type="dxa"/>
              <w:end w:w="100" w:type="dxa"/>
            </w:tcMar>
            <w:vAlign w:val="center"/>
          </w:tcPr>
          <w:p>
            <w:pPr>
              <w:spacing w:after="0"/>
            </w:pPr>
            <w:r>
              <w:rPr>
                <w:sz w:val="16"/>
              </w:rPr>
              <w:t>Primary color and secondary color</w:t>
            </w:r>
          </w:p>
        </w:tc>
        <w:tc>
          <w:tcPr>
            <w:tcW w:type="dxa" w:w="7776"/>
            <w:tcMar>
              <w:top w:w="90" w:type="dxa"/>
              <w:start w:w="100" w:type="dxa"/>
              <w:bottom w:w="90" w:type="dxa"/>
              <w:end w:w="100" w:type="dxa"/>
            </w:tcMar>
            <w:vAlign w:val="center"/>
          </w:tcPr>
          <w:p>
            <w:pPr>
              <w:spacing w:after="0"/>
            </w:pPr>
            <w:r>
              <w:rPr>
                <w:sz w:val="16"/>
              </w:rPr>
              <w:t>Derived from tone, genre, setting, target audience, and network brand; editable within constraints.</w:t>
            </w:r>
          </w:p>
        </w:tc>
      </w:tr>
      <w:tr>
        <w:trPr>
          <w:cantSplit/>
        </w:trPr>
        <w:tc>
          <w:tcPr>
            <w:tcW w:type="dxa" w:w="2304"/>
            <w:tcMar>
              <w:top w:w="90" w:type="dxa"/>
              <w:start w:w="100" w:type="dxa"/>
              <w:bottom w:w="90" w:type="dxa"/>
              <w:end w:w="100" w:type="dxa"/>
            </w:tcMar>
            <w:vAlign w:val="center"/>
          </w:tcPr>
          <w:p>
            <w:pPr>
              <w:spacing w:after="0"/>
            </w:pPr>
            <w:r>
              <w:rPr>
                <w:sz w:val="16"/>
              </w:rPr>
              <w:t>Card shape / frame</w:t>
            </w:r>
          </w:p>
        </w:tc>
        <w:tc>
          <w:tcPr>
            <w:tcW w:type="dxa" w:w="7776"/>
            <w:tcMar>
              <w:top w:w="90" w:type="dxa"/>
              <w:start w:w="100" w:type="dxa"/>
              <w:bottom w:w="90" w:type="dxa"/>
              <w:end w:w="100" w:type="dxa"/>
            </w:tcMar>
            <w:vAlign w:val="center"/>
          </w:tcPr>
          <w:p>
            <w:pPr>
              <w:spacing w:after="0"/>
            </w:pPr>
            <w:r>
              <w:rPr>
                <w:sz w:val="16"/>
              </w:rPr>
              <w:t>Rounded, sharp, banner, badge, film strip, news ticker, shield, spotlight, documentary plate.</w:t>
            </w:r>
          </w:p>
        </w:tc>
      </w:tr>
      <w:tr>
        <w:trPr>
          <w:cantSplit/>
        </w:trPr>
        <w:tc>
          <w:tcPr>
            <w:tcW w:type="dxa" w:w="2304"/>
            <w:tcMar>
              <w:top w:w="90" w:type="dxa"/>
              <w:start w:w="100" w:type="dxa"/>
              <w:bottom w:w="90" w:type="dxa"/>
              <w:end w:w="100" w:type="dxa"/>
            </w:tcMar>
            <w:vAlign w:val="center"/>
          </w:tcPr>
          <w:p>
            <w:pPr>
              <w:spacing w:after="0"/>
            </w:pPr>
            <w:r>
              <w:rPr>
                <w:sz w:val="16"/>
              </w:rPr>
              <w:t>Icon</w:t>
            </w:r>
          </w:p>
        </w:tc>
        <w:tc>
          <w:tcPr>
            <w:tcW w:type="dxa" w:w="7776"/>
            <w:tcMar>
              <w:top w:w="90" w:type="dxa"/>
              <w:start w:w="100" w:type="dxa"/>
              <w:bottom w:w="90" w:type="dxa"/>
              <w:end w:w="100" w:type="dxa"/>
            </w:tcMar>
            <w:vAlign w:val="center"/>
          </w:tcPr>
          <w:p>
            <w:pPr>
              <w:spacing w:after="0"/>
            </w:pPr>
            <w:r>
              <w:rPr>
                <w:sz w:val="16"/>
              </w:rPr>
              <w:t>Police badge, heart, microphone, globe, mountain, question mark, trophy, crown, camera, spaceship, family, medical cross.</w:t>
            </w:r>
          </w:p>
        </w:tc>
      </w:tr>
      <w:tr>
        <w:trPr>
          <w:cantSplit/>
        </w:trPr>
        <w:tc>
          <w:tcPr>
            <w:tcW w:type="dxa" w:w="2304"/>
            <w:tcMar>
              <w:top w:w="90" w:type="dxa"/>
              <w:start w:w="100" w:type="dxa"/>
              <w:bottom w:w="90" w:type="dxa"/>
              <w:end w:w="100" w:type="dxa"/>
            </w:tcMar>
            <w:vAlign w:val="center"/>
          </w:tcPr>
          <w:p>
            <w:pPr>
              <w:spacing w:after="0"/>
            </w:pPr>
            <w:r>
              <w:rPr>
                <w:sz w:val="16"/>
              </w:rPr>
              <w:t>Typography class</w:t>
            </w:r>
          </w:p>
        </w:tc>
        <w:tc>
          <w:tcPr>
            <w:tcW w:type="dxa" w:w="7776"/>
            <w:tcMar>
              <w:top w:w="90" w:type="dxa"/>
              <w:start w:w="100" w:type="dxa"/>
              <w:bottom w:w="90" w:type="dxa"/>
              <w:end w:w="100" w:type="dxa"/>
            </w:tcMar>
            <w:vAlign w:val="center"/>
          </w:tcPr>
          <w:p>
            <w:pPr>
              <w:spacing w:after="0"/>
            </w:pPr>
            <w:r>
              <w:rPr>
                <w:sz w:val="16"/>
              </w:rPr>
              <w:t>Serious serif, modern sans, playful, condensed news, premium cinematic, retro.</w:t>
            </w:r>
          </w:p>
        </w:tc>
      </w:tr>
      <w:tr>
        <w:trPr>
          <w:cantSplit/>
        </w:trPr>
        <w:tc>
          <w:tcPr>
            <w:tcW w:type="dxa" w:w="2304"/>
            <w:tcMar>
              <w:top w:w="90" w:type="dxa"/>
              <w:start w:w="100" w:type="dxa"/>
              <w:bottom w:w="90" w:type="dxa"/>
              <w:end w:w="100" w:type="dxa"/>
            </w:tcMar>
            <w:vAlign w:val="center"/>
          </w:tcPr>
          <w:p>
            <w:pPr>
              <w:spacing w:after="0"/>
            </w:pPr>
            <w:r>
              <w:rPr>
                <w:sz w:val="16"/>
              </w:rPr>
              <w:t>Motif</w:t>
            </w:r>
          </w:p>
        </w:tc>
        <w:tc>
          <w:tcPr>
            <w:tcW w:type="dxa" w:w="7776"/>
            <w:tcMar>
              <w:top w:w="90" w:type="dxa"/>
              <w:start w:w="100" w:type="dxa"/>
              <w:bottom w:w="90" w:type="dxa"/>
              <w:end w:w="100" w:type="dxa"/>
            </w:tcMar>
            <w:vAlign w:val="center"/>
          </w:tcPr>
          <w:p>
            <w:pPr>
              <w:spacing w:after="0"/>
            </w:pPr>
            <w:r>
              <w:rPr>
                <w:sz w:val="16"/>
              </w:rPr>
              <w:t>Subtle pattern such as grid, stars, waves, city skyline, film grain, map, stage lights.</w:t>
            </w:r>
          </w:p>
        </w:tc>
      </w:tr>
      <w:tr>
        <w:trPr>
          <w:cantSplit/>
        </w:trPr>
        <w:tc>
          <w:tcPr>
            <w:tcW w:type="dxa" w:w="2304"/>
            <w:tcMar>
              <w:top w:w="90" w:type="dxa"/>
              <w:start w:w="100" w:type="dxa"/>
              <w:bottom w:w="90" w:type="dxa"/>
              <w:end w:w="100" w:type="dxa"/>
            </w:tcMar>
            <w:vAlign w:val="center"/>
          </w:tcPr>
          <w:p>
            <w:pPr>
              <w:spacing w:after="0"/>
            </w:pPr>
            <w:r>
              <w:rPr>
                <w:sz w:val="16"/>
              </w:rPr>
              <w:t>Logo strength</w:t>
            </w:r>
          </w:p>
        </w:tc>
        <w:tc>
          <w:tcPr>
            <w:tcW w:type="dxa" w:w="7776"/>
            <w:tcMar>
              <w:top w:w="90" w:type="dxa"/>
              <w:start w:w="100" w:type="dxa"/>
              <w:bottom w:w="90" w:type="dxa"/>
              <w:end w:w="100" w:type="dxa"/>
            </w:tcMar>
            <w:vAlign w:val="center"/>
          </w:tcPr>
          <w:p>
            <w:pPr>
              <w:spacing w:after="0"/>
            </w:pPr>
            <w:r>
              <w:rPr>
                <w:sz w:val="16"/>
              </w:rPr>
              <w:t>Improves through marketing, longevity, and audience familiarity; governs instant recognition.</w:t>
            </w:r>
          </w:p>
        </w:tc>
      </w:tr>
    </w:tbl>
    <w:p>
      <w:pPr>
        <w:spacing w:after="0"/>
      </w:pPr>
    </w:p>
    <w:p>
      <w:pPr>
        <w:pStyle w:val="Heading2"/>
      </w:pPr>
      <w:r>
        <w:t>16.2 Campaign system</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944"/>
            <w:shd w:fill="1F4E79"/>
            <w:tcMar>
              <w:top w:w="90" w:type="dxa"/>
              <w:start w:w="100" w:type="dxa"/>
              <w:bottom w:w="90" w:type="dxa"/>
              <w:end w:w="100" w:type="dxa"/>
            </w:tcMar>
            <w:vAlign w:val="center"/>
          </w:tcPr>
          <w:p>
            <w:pPr>
              <w:jc w:val="center"/>
            </w:pPr>
            <w:r>
              <w:rPr>
                <w:b/>
                <w:color w:val="FFFFFF"/>
                <w:sz w:val="16"/>
              </w:rPr>
              <w:t>Objective</w:t>
            </w:r>
          </w:p>
        </w:tc>
        <w:tc>
          <w:tcPr>
            <w:tcW w:type="dxa" w:w="4464"/>
            <w:shd w:fill="1F4E79"/>
            <w:tcMar>
              <w:top w:w="90" w:type="dxa"/>
              <w:start w:w="100" w:type="dxa"/>
              <w:bottom w:w="90" w:type="dxa"/>
              <w:end w:w="100" w:type="dxa"/>
            </w:tcMar>
            <w:vAlign w:val="center"/>
          </w:tcPr>
          <w:p>
            <w:pPr>
              <w:jc w:val="center"/>
            </w:pPr>
            <w:r>
              <w:rPr>
                <w:b/>
                <w:color w:val="FFFFFF"/>
                <w:sz w:val="16"/>
              </w:rPr>
              <w:t>Typical tools</w:t>
            </w:r>
          </w:p>
        </w:tc>
        <w:tc>
          <w:tcPr>
            <w:tcW w:type="dxa" w:w="3672"/>
            <w:shd w:fill="1F4E79"/>
            <w:tcMar>
              <w:top w:w="90" w:type="dxa"/>
              <w:start w:w="100" w:type="dxa"/>
              <w:bottom w:w="90" w:type="dxa"/>
              <w:end w:w="100" w:type="dxa"/>
            </w:tcMar>
            <w:vAlign w:val="center"/>
          </w:tcPr>
          <w:p>
            <w:pPr>
              <w:jc w:val="center"/>
            </w:pPr>
            <w:r>
              <w:rPr>
                <w:b/>
                <w:color w:val="FFFFFF"/>
                <w:sz w:val="16"/>
              </w:rPr>
              <w:t>Measures</w:t>
            </w:r>
          </w:p>
        </w:tc>
      </w:tr>
      <w:tr>
        <w:trPr>
          <w:cantSplit/>
        </w:trPr>
        <w:tc>
          <w:tcPr>
            <w:tcW w:type="dxa" w:w="1944"/>
            <w:tcMar>
              <w:top w:w="90" w:type="dxa"/>
              <w:start w:w="100" w:type="dxa"/>
              <w:bottom w:w="90" w:type="dxa"/>
              <w:end w:w="100" w:type="dxa"/>
            </w:tcMar>
            <w:vAlign w:val="center"/>
          </w:tcPr>
          <w:p>
            <w:pPr>
              <w:spacing w:after="0"/>
            </w:pPr>
            <w:r>
              <w:rPr>
                <w:sz w:val="16"/>
              </w:rPr>
              <w:t>Launch awareness</w:t>
            </w:r>
          </w:p>
        </w:tc>
        <w:tc>
          <w:tcPr>
            <w:tcW w:type="dxa" w:w="4464"/>
            <w:tcMar>
              <w:top w:w="90" w:type="dxa"/>
              <w:start w:w="100" w:type="dxa"/>
              <w:bottom w:w="90" w:type="dxa"/>
              <w:end w:w="100" w:type="dxa"/>
            </w:tcMar>
            <w:vAlign w:val="center"/>
          </w:tcPr>
          <w:p>
            <w:pPr>
              <w:spacing w:after="0"/>
            </w:pPr>
            <w:r>
              <w:rPr>
                <w:sz w:val="16"/>
              </w:rPr>
              <w:t>Trailers, outdoor, affiliate promos, press, talent appearances, digital video</w:t>
            </w:r>
          </w:p>
        </w:tc>
        <w:tc>
          <w:tcPr>
            <w:tcW w:type="dxa" w:w="3672"/>
            <w:tcMar>
              <w:top w:w="90" w:type="dxa"/>
              <w:start w:w="100" w:type="dxa"/>
              <w:bottom w:w="90" w:type="dxa"/>
              <w:end w:w="100" w:type="dxa"/>
            </w:tcMar>
            <w:vAlign w:val="center"/>
          </w:tcPr>
          <w:p>
            <w:pPr>
              <w:spacing w:after="0"/>
            </w:pPr>
            <w:r>
              <w:rPr>
                <w:sz w:val="16"/>
              </w:rPr>
              <w:t>Awareness, sampling, premiere reach</w:t>
            </w:r>
          </w:p>
        </w:tc>
      </w:tr>
      <w:tr>
        <w:trPr>
          <w:cantSplit/>
        </w:trPr>
        <w:tc>
          <w:tcPr>
            <w:tcW w:type="dxa" w:w="1944"/>
            <w:tcMar>
              <w:top w:w="90" w:type="dxa"/>
              <w:start w:w="100" w:type="dxa"/>
              <w:bottom w:w="90" w:type="dxa"/>
              <w:end w:w="100" w:type="dxa"/>
            </w:tcMar>
            <w:vAlign w:val="center"/>
          </w:tcPr>
          <w:p>
            <w:pPr>
              <w:spacing w:after="0"/>
            </w:pPr>
            <w:r>
              <w:rPr>
                <w:sz w:val="16"/>
              </w:rPr>
              <w:t>Retention</w:t>
            </w:r>
          </w:p>
        </w:tc>
        <w:tc>
          <w:tcPr>
            <w:tcW w:type="dxa" w:w="4464"/>
            <w:tcMar>
              <w:top w:w="90" w:type="dxa"/>
              <w:start w:w="100" w:type="dxa"/>
              <w:bottom w:w="90" w:type="dxa"/>
              <w:end w:w="100" w:type="dxa"/>
            </w:tcMar>
            <w:vAlign w:val="center"/>
          </w:tcPr>
          <w:p>
            <w:pPr>
              <w:spacing w:after="0"/>
            </w:pPr>
            <w:r>
              <w:rPr>
                <w:sz w:val="16"/>
              </w:rPr>
              <w:t>Recaps, reminders, cast content, cliffhanger promotion, personalized messaging</w:t>
            </w:r>
          </w:p>
        </w:tc>
        <w:tc>
          <w:tcPr>
            <w:tcW w:type="dxa" w:w="3672"/>
            <w:tcMar>
              <w:top w:w="90" w:type="dxa"/>
              <w:start w:w="100" w:type="dxa"/>
              <w:bottom w:w="90" w:type="dxa"/>
              <w:end w:w="100" w:type="dxa"/>
            </w:tcMar>
            <w:vAlign w:val="center"/>
          </w:tcPr>
          <w:p>
            <w:pPr>
              <w:spacing w:after="0"/>
            </w:pPr>
            <w:r>
              <w:rPr>
                <w:sz w:val="16"/>
              </w:rPr>
              <w:t>Return rate, completion, loyalty</w:t>
            </w:r>
          </w:p>
        </w:tc>
      </w:tr>
      <w:tr>
        <w:trPr>
          <w:cantSplit/>
        </w:trPr>
        <w:tc>
          <w:tcPr>
            <w:tcW w:type="dxa" w:w="1944"/>
            <w:tcMar>
              <w:top w:w="90" w:type="dxa"/>
              <w:start w:w="100" w:type="dxa"/>
              <w:bottom w:w="90" w:type="dxa"/>
              <w:end w:w="100" w:type="dxa"/>
            </w:tcMar>
            <w:vAlign w:val="center"/>
          </w:tcPr>
          <w:p>
            <w:pPr>
              <w:spacing w:after="0"/>
            </w:pPr>
            <w:r>
              <w:rPr>
                <w:sz w:val="16"/>
              </w:rPr>
              <w:t>Brand building</w:t>
            </w:r>
          </w:p>
        </w:tc>
        <w:tc>
          <w:tcPr>
            <w:tcW w:type="dxa" w:w="4464"/>
            <w:tcMar>
              <w:top w:w="90" w:type="dxa"/>
              <w:start w:w="100" w:type="dxa"/>
              <w:bottom w:w="90" w:type="dxa"/>
              <w:end w:w="100" w:type="dxa"/>
            </w:tcMar>
            <w:vAlign w:val="center"/>
          </w:tcPr>
          <w:p>
            <w:pPr>
              <w:spacing w:after="0"/>
            </w:pPr>
            <w:r>
              <w:rPr>
                <w:sz w:val="16"/>
              </w:rPr>
              <w:t>Network campaigns, slogans, visual refresh, flagship association</w:t>
            </w:r>
          </w:p>
        </w:tc>
        <w:tc>
          <w:tcPr>
            <w:tcW w:type="dxa" w:w="3672"/>
            <w:tcMar>
              <w:top w:w="90" w:type="dxa"/>
              <w:start w:w="100" w:type="dxa"/>
              <w:bottom w:w="90" w:type="dxa"/>
              <w:end w:w="100" w:type="dxa"/>
            </w:tcMar>
            <w:vAlign w:val="center"/>
          </w:tcPr>
          <w:p>
            <w:pPr>
              <w:spacing w:after="0"/>
            </w:pPr>
            <w:r>
              <w:rPr>
                <w:sz w:val="16"/>
              </w:rPr>
              <w:t>Trust, differentiation, distributor demand</w:t>
            </w:r>
          </w:p>
        </w:tc>
      </w:tr>
      <w:tr>
        <w:trPr>
          <w:cantSplit/>
        </w:trPr>
        <w:tc>
          <w:tcPr>
            <w:tcW w:type="dxa" w:w="1944"/>
            <w:tcMar>
              <w:top w:w="90" w:type="dxa"/>
              <w:start w:w="100" w:type="dxa"/>
              <w:bottom w:w="90" w:type="dxa"/>
              <w:end w:w="100" w:type="dxa"/>
            </w:tcMar>
            <w:vAlign w:val="center"/>
          </w:tcPr>
          <w:p>
            <w:pPr>
              <w:spacing w:after="0"/>
            </w:pPr>
            <w:r>
              <w:rPr>
                <w:sz w:val="16"/>
              </w:rPr>
              <w:t>Awards/prestige</w:t>
            </w:r>
          </w:p>
        </w:tc>
        <w:tc>
          <w:tcPr>
            <w:tcW w:type="dxa" w:w="4464"/>
            <w:tcMar>
              <w:top w:w="90" w:type="dxa"/>
              <w:start w:w="100" w:type="dxa"/>
              <w:bottom w:w="90" w:type="dxa"/>
              <w:end w:w="100" w:type="dxa"/>
            </w:tcMar>
            <w:vAlign w:val="center"/>
          </w:tcPr>
          <w:p>
            <w:pPr>
              <w:spacing w:after="0"/>
            </w:pPr>
            <w:r>
              <w:rPr>
                <w:sz w:val="16"/>
              </w:rPr>
              <w:t>Screeners, events, critic outreach, industry advertising</w:t>
            </w:r>
          </w:p>
        </w:tc>
        <w:tc>
          <w:tcPr>
            <w:tcW w:type="dxa" w:w="3672"/>
            <w:tcMar>
              <w:top w:w="90" w:type="dxa"/>
              <w:start w:w="100" w:type="dxa"/>
              <w:bottom w:w="90" w:type="dxa"/>
              <w:end w:w="100" w:type="dxa"/>
            </w:tcMar>
            <w:vAlign w:val="center"/>
          </w:tcPr>
          <w:p>
            <w:pPr>
              <w:spacing w:after="0"/>
            </w:pPr>
            <w:r>
              <w:rPr>
                <w:sz w:val="16"/>
              </w:rPr>
              <w:t>Nominations, critical attention, talent attraction</w:t>
            </w:r>
          </w:p>
        </w:tc>
      </w:tr>
      <w:tr>
        <w:trPr>
          <w:cantSplit/>
        </w:trPr>
        <w:tc>
          <w:tcPr>
            <w:tcW w:type="dxa" w:w="1944"/>
            <w:tcMar>
              <w:top w:w="90" w:type="dxa"/>
              <w:start w:w="100" w:type="dxa"/>
              <w:bottom w:w="90" w:type="dxa"/>
              <w:end w:w="100" w:type="dxa"/>
            </w:tcMar>
            <w:vAlign w:val="center"/>
          </w:tcPr>
          <w:p>
            <w:pPr>
              <w:spacing w:after="0"/>
            </w:pPr>
            <w:r>
              <w:rPr>
                <w:sz w:val="16"/>
              </w:rPr>
              <w:t>Subscriber growth</w:t>
            </w:r>
          </w:p>
        </w:tc>
        <w:tc>
          <w:tcPr>
            <w:tcW w:type="dxa" w:w="4464"/>
            <w:tcMar>
              <w:top w:w="90" w:type="dxa"/>
              <w:start w:w="100" w:type="dxa"/>
              <w:bottom w:w="90" w:type="dxa"/>
              <w:end w:w="100" w:type="dxa"/>
            </w:tcMar>
            <w:vAlign w:val="center"/>
          </w:tcPr>
          <w:p>
            <w:pPr>
              <w:spacing w:after="0"/>
            </w:pPr>
            <w:r>
              <w:rPr>
                <w:sz w:val="16"/>
              </w:rPr>
              <w:t>Trials, bundles, partner offers, performance marketing</w:t>
            </w:r>
          </w:p>
        </w:tc>
        <w:tc>
          <w:tcPr>
            <w:tcW w:type="dxa" w:w="3672"/>
            <w:tcMar>
              <w:top w:w="90" w:type="dxa"/>
              <w:start w:w="100" w:type="dxa"/>
              <w:bottom w:w="90" w:type="dxa"/>
              <w:end w:w="100" w:type="dxa"/>
            </w:tcMar>
            <w:vAlign w:val="center"/>
          </w:tcPr>
          <w:p>
            <w:pPr>
              <w:spacing w:after="0"/>
            </w:pPr>
            <w:r>
              <w:rPr>
                <w:sz w:val="16"/>
              </w:rPr>
              <w:t>Acquisition cost, conversion, churn</w:t>
            </w:r>
          </w:p>
        </w:tc>
      </w:tr>
      <w:tr>
        <w:trPr>
          <w:cantSplit/>
        </w:trPr>
        <w:tc>
          <w:tcPr>
            <w:tcW w:type="dxa" w:w="1944"/>
            <w:tcMar>
              <w:top w:w="90" w:type="dxa"/>
              <w:start w:w="100" w:type="dxa"/>
              <w:bottom w:w="90" w:type="dxa"/>
              <w:end w:w="100" w:type="dxa"/>
            </w:tcMar>
            <w:vAlign w:val="center"/>
          </w:tcPr>
          <w:p>
            <w:pPr>
              <w:spacing w:after="0"/>
            </w:pPr>
            <w:r>
              <w:rPr>
                <w:sz w:val="16"/>
              </w:rPr>
              <w:t>Regional expansion</w:t>
            </w:r>
          </w:p>
        </w:tc>
        <w:tc>
          <w:tcPr>
            <w:tcW w:type="dxa" w:w="4464"/>
            <w:tcMar>
              <w:top w:w="90" w:type="dxa"/>
              <w:start w:w="100" w:type="dxa"/>
              <w:bottom w:w="90" w:type="dxa"/>
              <w:end w:w="100" w:type="dxa"/>
            </w:tcMar>
            <w:vAlign w:val="center"/>
          </w:tcPr>
          <w:p>
            <w:pPr>
              <w:spacing w:after="0"/>
            </w:pPr>
            <w:r>
              <w:rPr>
                <w:sz w:val="16"/>
              </w:rPr>
              <w:t>Local faces, community events, affiliate support, localized ads</w:t>
            </w:r>
          </w:p>
        </w:tc>
        <w:tc>
          <w:tcPr>
            <w:tcW w:type="dxa" w:w="3672"/>
            <w:tcMar>
              <w:top w:w="90" w:type="dxa"/>
              <w:start w:w="100" w:type="dxa"/>
              <w:bottom w:w="90" w:type="dxa"/>
              <w:end w:w="100" w:type="dxa"/>
            </w:tcMar>
            <w:vAlign w:val="center"/>
          </w:tcPr>
          <w:p>
            <w:pPr>
              <w:spacing w:after="0"/>
            </w:pPr>
            <w:r>
              <w:rPr>
                <w:sz w:val="16"/>
              </w:rPr>
              <w:t>Market awareness, local share, carriage leverage</w:t>
            </w:r>
          </w:p>
        </w:tc>
      </w:tr>
    </w:tbl>
    <w:p>
      <w:pPr>
        <w:spacing w:after="0"/>
      </w:pPr>
    </w:p>
    <w:p>
      <w:pPr>
        <w:pStyle w:val="Heading1"/>
      </w:pPr>
      <w:r>
        <w:t>17. Finance, Operations, and Governance</w:t>
      </w:r>
    </w:p>
    <w:p>
      <w:r>
        <w:t>Finance and operations should feel credible but support the media strategy rather than dominate it. The player can drill into detail, while department heads provide forecasts, exceptions, and recommendations.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6"/>
              </w:rPr>
              <w:t>System</w:t>
            </w:r>
          </w:p>
        </w:tc>
        <w:tc>
          <w:tcPr>
            <w:tcW w:type="dxa" w:w="7848"/>
            <w:shd w:fill="1F4E79"/>
            <w:tcMar>
              <w:top w:w="90" w:type="dxa"/>
              <w:start w:w="100" w:type="dxa"/>
              <w:bottom w:w="90" w:type="dxa"/>
              <w:end w:w="100" w:type="dxa"/>
            </w:tcMar>
            <w:vAlign w:val="center"/>
          </w:tcPr>
          <w:p>
            <w:pPr>
              <w:jc w:val="center"/>
            </w:pPr>
            <w:r>
              <w:rPr>
                <w:b/>
                <w:color w:val="FFFFFF"/>
                <w:sz w:val="16"/>
              </w:rPr>
              <w:t>Key views</w:t>
            </w:r>
          </w:p>
        </w:tc>
      </w:tr>
      <w:tr>
        <w:trPr>
          <w:cantSplit/>
        </w:trPr>
        <w:tc>
          <w:tcPr>
            <w:tcW w:type="dxa" w:w="2232"/>
            <w:tcMar>
              <w:top w:w="90" w:type="dxa"/>
              <w:start w:w="100" w:type="dxa"/>
              <w:bottom w:w="90" w:type="dxa"/>
              <w:end w:w="100" w:type="dxa"/>
            </w:tcMar>
            <w:vAlign w:val="center"/>
          </w:tcPr>
          <w:p>
            <w:pPr>
              <w:spacing w:after="0"/>
            </w:pPr>
            <w:r>
              <w:rPr>
                <w:sz w:val="16"/>
              </w:rPr>
              <w:t>Finance</w:t>
            </w:r>
          </w:p>
        </w:tc>
        <w:tc>
          <w:tcPr>
            <w:tcW w:type="dxa" w:w="7848"/>
            <w:tcMar>
              <w:top w:w="90" w:type="dxa"/>
              <w:start w:w="100" w:type="dxa"/>
              <w:bottom w:w="90" w:type="dxa"/>
              <w:end w:w="100" w:type="dxa"/>
            </w:tcMar>
            <w:vAlign w:val="center"/>
          </w:tcPr>
          <w:p>
            <w:pPr>
              <w:spacing w:after="0"/>
            </w:pPr>
            <w:r>
              <w:rPr>
                <w:sz w:val="16"/>
              </w:rPr>
              <w:t>Income statement, cash flow, balance sheet, budget vs actual, forecast, content assets, commitments, debt, covenant risk, show profitability, market profitability.</w:t>
            </w:r>
          </w:p>
        </w:tc>
      </w:tr>
      <w:tr>
        <w:trPr>
          <w:cantSplit/>
        </w:trPr>
        <w:tc>
          <w:tcPr>
            <w:tcW w:type="dxa" w:w="2232"/>
            <w:tcMar>
              <w:top w:w="90" w:type="dxa"/>
              <w:start w:w="100" w:type="dxa"/>
              <w:bottom w:w="90" w:type="dxa"/>
              <w:end w:w="100" w:type="dxa"/>
            </w:tcMar>
            <w:vAlign w:val="center"/>
          </w:tcPr>
          <w:p>
            <w:pPr>
              <w:spacing w:after="0"/>
            </w:pPr>
            <w:r>
              <w:rPr>
                <w:sz w:val="16"/>
              </w:rPr>
              <w:t>Operations</w:t>
            </w:r>
          </w:p>
        </w:tc>
        <w:tc>
          <w:tcPr>
            <w:tcW w:type="dxa" w:w="7848"/>
            <w:tcMar>
              <w:top w:w="90" w:type="dxa"/>
              <w:start w:w="100" w:type="dxa"/>
              <w:bottom w:w="90" w:type="dxa"/>
              <w:end w:w="100" w:type="dxa"/>
            </w:tcMar>
            <w:vAlign w:val="center"/>
          </w:tcPr>
          <w:p>
            <w:pPr>
              <w:spacing w:after="0"/>
            </w:pPr>
            <w:r>
              <w:rPr>
                <w:sz w:val="16"/>
              </w:rPr>
              <w:t>Production calendar, studio utilization, crew capacity, deliveries, technical incidents, maintenance, travel, safety, rights clearances.</w:t>
            </w:r>
          </w:p>
        </w:tc>
      </w:tr>
      <w:tr>
        <w:trPr>
          <w:cantSplit/>
        </w:trPr>
        <w:tc>
          <w:tcPr>
            <w:tcW w:type="dxa" w:w="2232"/>
            <w:tcMar>
              <w:top w:w="90" w:type="dxa"/>
              <w:start w:w="100" w:type="dxa"/>
              <w:bottom w:w="90" w:type="dxa"/>
              <w:end w:w="100" w:type="dxa"/>
            </w:tcMar>
            <w:vAlign w:val="center"/>
          </w:tcPr>
          <w:p>
            <w:pPr>
              <w:spacing w:after="0"/>
            </w:pPr>
            <w:r>
              <w:rPr>
                <w:sz w:val="16"/>
              </w:rPr>
              <w:t>People</w:t>
            </w:r>
          </w:p>
        </w:tc>
        <w:tc>
          <w:tcPr>
            <w:tcW w:type="dxa" w:w="7848"/>
            <w:tcMar>
              <w:top w:w="90" w:type="dxa"/>
              <w:start w:w="100" w:type="dxa"/>
              <w:bottom w:w="90" w:type="dxa"/>
              <w:end w:w="100" w:type="dxa"/>
            </w:tcMar>
            <w:vAlign w:val="center"/>
          </w:tcPr>
          <w:p>
            <w:pPr>
              <w:spacing w:after="0"/>
            </w:pPr>
            <w:r>
              <w:rPr>
                <w:sz w:val="16"/>
              </w:rPr>
              <w:t>Headcount, compensation, vacancies, workload, morale, succession, contracts, unions, turnover, organizational structure.</w:t>
            </w:r>
          </w:p>
        </w:tc>
      </w:tr>
      <w:tr>
        <w:trPr>
          <w:cantSplit/>
        </w:trPr>
        <w:tc>
          <w:tcPr>
            <w:tcW w:type="dxa" w:w="2232"/>
            <w:tcMar>
              <w:top w:w="90" w:type="dxa"/>
              <w:start w:w="100" w:type="dxa"/>
              <w:bottom w:w="90" w:type="dxa"/>
              <w:end w:w="100" w:type="dxa"/>
            </w:tcMar>
            <w:vAlign w:val="center"/>
          </w:tcPr>
          <w:p>
            <w:pPr>
              <w:spacing w:after="0"/>
            </w:pPr>
            <w:r>
              <w:rPr>
                <w:sz w:val="16"/>
              </w:rPr>
              <w:t>Board and ownership</w:t>
            </w:r>
          </w:p>
        </w:tc>
        <w:tc>
          <w:tcPr>
            <w:tcW w:type="dxa" w:w="7848"/>
            <w:tcMar>
              <w:top w:w="90" w:type="dxa"/>
              <w:start w:w="100" w:type="dxa"/>
              <w:bottom w:w="90" w:type="dxa"/>
              <w:end w:w="100" w:type="dxa"/>
            </w:tcMar>
            <w:vAlign w:val="center"/>
          </w:tcPr>
          <w:p>
            <w:pPr>
              <w:spacing w:after="0"/>
            </w:pPr>
            <w:r>
              <w:rPr>
                <w:sz w:val="16"/>
              </w:rPr>
              <w:t>Objectives, confidence, risk tolerance, dividends, capital requests, strategic reviews, takeover pressure.</w:t>
            </w:r>
          </w:p>
        </w:tc>
      </w:tr>
      <w:tr>
        <w:trPr>
          <w:cantSplit/>
        </w:trPr>
        <w:tc>
          <w:tcPr>
            <w:tcW w:type="dxa" w:w="2232"/>
            <w:tcMar>
              <w:top w:w="90" w:type="dxa"/>
              <w:start w:w="100" w:type="dxa"/>
              <w:bottom w:w="90" w:type="dxa"/>
              <w:end w:w="100" w:type="dxa"/>
            </w:tcMar>
            <w:vAlign w:val="center"/>
          </w:tcPr>
          <w:p>
            <w:pPr>
              <w:spacing w:after="0"/>
            </w:pPr>
            <w:r>
              <w:rPr>
                <w:sz w:val="16"/>
              </w:rPr>
              <w:t>Legal and compliance</w:t>
            </w:r>
          </w:p>
        </w:tc>
        <w:tc>
          <w:tcPr>
            <w:tcW w:type="dxa" w:w="7848"/>
            <w:tcMar>
              <w:top w:w="90" w:type="dxa"/>
              <w:start w:w="100" w:type="dxa"/>
              <w:bottom w:w="90" w:type="dxa"/>
              <w:end w:w="100" w:type="dxa"/>
            </w:tcMar>
            <w:vAlign w:val="center"/>
          </w:tcPr>
          <w:p>
            <w:pPr>
              <w:spacing w:after="0"/>
            </w:pPr>
            <w:r>
              <w:rPr>
                <w:sz w:val="16"/>
              </w:rPr>
              <w:t>Broadcast standards, contracts, labor, rights, defamation, privacy, political rules, children’s content, accessibility.</w:t>
            </w:r>
          </w:p>
        </w:tc>
      </w:tr>
    </w:tbl>
    <w:p>
      <w:pPr>
        <w:spacing w:after="0"/>
      </w:pPr>
    </w:p>
    <w:p>
      <w:pPr>
        <w:pStyle w:val="Heading2"/>
      </w:pPr>
      <w:r>
        <w:t>17.1 Capital allocation</w:t>
      </w:r>
    </w:p>
    <w:p>
      <w:r>
        <w:t>Cash competes across content, rights, infrastructure, acquisitions, research, facilities, marketing, debt reduction, and dividends. Commitments matter more than headline cost: a five-year sports package may constrain the company even when current cash looks strong. The finance system should distinguish cash spend, accounting expense, content asset value, and future obligations without requiring full accounting expertise.</w:t>
      </w:r>
    </w:p>
    <w:p>
      <w:pPr>
        <w:pStyle w:val="Heading1"/>
      </w:pPr>
      <w:r>
        <w:t>18. Home Page, Rankings, and Corporate Websites</w:t>
      </w:r>
    </w:p>
    <w:p>
      <w:r>
        <w:t>The executive home page remains the command center but adds clear relative performance. It combines current operations with month-to-date and year-to-date rankings against relevant competitors.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6"/>
              </w:rPr>
              <w:t>Home module</w:t>
            </w:r>
          </w:p>
        </w:tc>
        <w:tc>
          <w:tcPr>
            <w:tcW w:type="dxa" w:w="7848"/>
            <w:shd w:fill="1F4E79"/>
            <w:tcMar>
              <w:top w:w="90" w:type="dxa"/>
              <w:start w:w="100" w:type="dxa"/>
              <w:bottom w:w="90" w:type="dxa"/>
              <w:end w:w="100" w:type="dxa"/>
            </w:tcMar>
            <w:vAlign w:val="center"/>
          </w:tcPr>
          <w:p>
            <w:pPr>
              <w:jc w:val="center"/>
            </w:pPr>
            <w:r>
              <w:rPr>
                <w:b/>
                <w:color w:val="FFFFFF"/>
                <w:sz w:val="16"/>
              </w:rPr>
              <w:t>Contents</w:t>
            </w:r>
          </w:p>
        </w:tc>
      </w:tr>
      <w:tr>
        <w:trPr>
          <w:cantSplit/>
        </w:trPr>
        <w:tc>
          <w:tcPr>
            <w:tcW w:type="dxa" w:w="2232"/>
            <w:tcMar>
              <w:top w:w="90" w:type="dxa"/>
              <w:start w:w="100" w:type="dxa"/>
              <w:bottom w:w="90" w:type="dxa"/>
              <w:end w:w="100" w:type="dxa"/>
            </w:tcMar>
            <w:vAlign w:val="center"/>
          </w:tcPr>
          <w:p>
            <w:pPr>
              <w:spacing w:after="0"/>
            </w:pPr>
            <w:r>
              <w:rPr>
                <w:sz w:val="16"/>
              </w:rPr>
              <w:t>Executive scorecard</w:t>
            </w:r>
          </w:p>
        </w:tc>
        <w:tc>
          <w:tcPr>
            <w:tcW w:type="dxa" w:w="7848"/>
            <w:tcMar>
              <w:top w:w="90" w:type="dxa"/>
              <w:start w:w="100" w:type="dxa"/>
              <w:bottom w:w="90" w:type="dxa"/>
              <w:end w:w="100" w:type="dxa"/>
            </w:tcMar>
            <w:vAlign w:val="center"/>
          </w:tcPr>
          <w:p>
            <w:pPr>
              <w:spacing w:after="0"/>
            </w:pPr>
            <w:r>
              <w:rPr>
                <w:sz w:val="16"/>
              </w:rPr>
              <w:t>Cash, revenue, EBITDA, audience share, reach, brand, board confidence, employee health, delivery risk.</w:t>
            </w:r>
          </w:p>
        </w:tc>
      </w:tr>
      <w:tr>
        <w:trPr>
          <w:cantSplit/>
        </w:trPr>
        <w:tc>
          <w:tcPr>
            <w:tcW w:type="dxa" w:w="2232"/>
            <w:tcMar>
              <w:top w:w="90" w:type="dxa"/>
              <w:start w:w="100" w:type="dxa"/>
              <w:bottom w:w="90" w:type="dxa"/>
              <w:end w:w="100" w:type="dxa"/>
            </w:tcMar>
            <w:vAlign w:val="center"/>
          </w:tcPr>
          <w:p>
            <w:pPr>
              <w:spacing w:after="0"/>
            </w:pPr>
            <w:r>
              <w:rPr>
                <w:sz w:val="16"/>
              </w:rPr>
              <w:t>MTD competitor ranking</w:t>
            </w:r>
          </w:p>
        </w:tc>
        <w:tc>
          <w:tcPr>
            <w:tcW w:type="dxa" w:w="7848"/>
            <w:tcMar>
              <w:top w:w="90" w:type="dxa"/>
              <w:start w:w="100" w:type="dxa"/>
              <w:bottom w:w="90" w:type="dxa"/>
              <w:end w:w="100" w:type="dxa"/>
            </w:tcMar>
            <w:vAlign w:val="center"/>
          </w:tcPr>
          <w:p>
            <w:pPr>
              <w:spacing w:after="0"/>
            </w:pPr>
            <w:r>
              <w:rPr>
                <w:sz w:val="16"/>
              </w:rPr>
              <w:t>Audience share, key demographics, streaming hours, ad revenue, subscriber growth, news trust, prime-time rank.</w:t>
            </w:r>
          </w:p>
        </w:tc>
      </w:tr>
      <w:tr>
        <w:trPr>
          <w:cantSplit/>
        </w:trPr>
        <w:tc>
          <w:tcPr>
            <w:tcW w:type="dxa" w:w="2232"/>
            <w:tcMar>
              <w:top w:w="90" w:type="dxa"/>
              <w:start w:w="100" w:type="dxa"/>
              <w:bottom w:w="90" w:type="dxa"/>
              <w:end w:w="100" w:type="dxa"/>
            </w:tcMar>
            <w:vAlign w:val="center"/>
          </w:tcPr>
          <w:p>
            <w:pPr>
              <w:spacing w:after="0"/>
            </w:pPr>
            <w:r>
              <w:rPr>
                <w:sz w:val="16"/>
              </w:rPr>
              <w:t>YTD competitor ranking</w:t>
            </w:r>
          </w:p>
        </w:tc>
        <w:tc>
          <w:tcPr>
            <w:tcW w:type="dxa" w:w="7848"/>
            <w:tcMar>
              <w:top w:w="90" w:type="dxa"/>
              <w:start w:w="100" w:type="dxa"/>
              <w:bottom w:w="90" w:type="dxa"/>
              <w:end w:w="100" w:type="dxa"/>
            </w:tcMar>
            <w:vAlign w:val="center"/>
          </w:tcPr>
          <w:p>
            <w:pPr>
              <w:spacing w:after="0"/>
            </w:pPr>
            <w:r>
              <w:rPr>
                <w:sz w:val="16"/>
              </w:rPr>
              <w:t>Revenue, profit, total audience, hit programs, awards, market expansion, rights value, brand strength.</w:t>
            </w:r>
          </w:p>
        </w:tc>
      </w:tr>
      <w:tr>
        <w:trPr>
          <w:cantSplit/>
        </w:trPr>
        <w:tc>
          <w:tcPr>
            <w:tcW w:type="dxa" w:w="2232"/>
            <w:tcMar>
              <w:top w:w="90" w:type="dxa"/>
              <w:start w:w="100" w:type="dxa"/>
              <w:bottom w:w="90" w:type="dxa"/>
              <w:end w:w="100" w:type="dxa"/>
            </w:tcMar>
            <w:vAlign w:val="center"/>
          </w:tcPr>
          <w:p>
            <w:pPr>
              <w:spacing w:after="0"/>
            </w:pPr>
            <w:r>
              <w:rPr>
                <w:sz w:val="16"/>
              </w:rPr>
              <w:t>Tonight / this week</w:t>
            </w:r>
          </w:p>
        </w:tc>
        <w:tc>
          <w:tcPr>
            <w:tcW w:type="dxa" w:w="7848"/>
            <w:tcMar>
              <w:top w:w="90" w:type="dxa"/>
              <w:start w:w="100" w:type="dxa"/>
              <w:bottom w:w="90" w:type="dxa"/>
              <w:end w:w="100" w:type="dxa"/>
            </w:tcMar>
            <w:vAlign w:val="center"/>
          </w:tcPr>
          <w:p>
            <w:pPr>
              <w:spacing w:after="0"/>
            </w:pPr>
            <w:r>
              <w:rPr>
                <w:sz w:val="16"/>
              </w:rPr>
              <w:t>Schedule, expected competition, launches, live events, sponsor commitments, readiness.</w:t>
            </w:r>
          </w:p>
        </w:tc>
      </w:tr>
      <w:tr>
        <w:trPr>
          <w:cantSplit/>
        </w:trPr>
        <w:tc>
          <w:tcPr>
            <w:tcW w:type="dxa" w:w="2232"/>
            <w:tcMar>
              <w:top w:w="90" w:type="dxa"/>
              <w:start w:w="100" w:type="dxa"/>
              <w:bottom w:w="90" w:type="dxa"/>
              <w:end w:w="100" w:type="dxa"/>
            </w:tcMar>
            <w:vAlign w:val="center"/>
          </w:tcPr>
          <w:p>
            <w:pPr>
              <w:spacing w:after="0"/>
            </w:pPr>
            <w:r>
              <w:rPr>
                <w:sz w:val="16"/>
              </w:rPr>
              <w:t>Critical decisions</w:t>
            </w:r>
          </w:p>
        </w:tc>
        <w:tc>
          <w:tcPr>
            <w:tcW w:type="dxa" w:w="7848"/>
            <w:tcMar>
              <w:top w:w="90" w:type="dxa"/>
              <w:start w:w="100" w:type="dxa"/>
              <w:bottom w:w="90" w:type="dxa"/>
              <w:end w:w="100" w:type="dxa"/>
            </w:tcMar>
            <w:vAlign w:val="center"/>
          </w:tcPr>
          <w:p>
            <w:pPr>
              <w:spacing w:after="0"/>
            </w:pPr>
            <w:r>
              <w:rPr>
                <w:sz w:val="16"/>
              </w:rPr>
              <w:t>Greenlights, rights bids, talent offers, affiliate/carriage terms, crises, capital approvals.</w:t>
            </w:r>
          </w:p>
        </w:tc>
      </w:tr>
      <w:tr>
        <w:trPr>
          <w:cantSplit/>
        </w:trPr>
        <w:tc>
          <w:tcPr>
            <w:tcW w:type="dxa" w:w="2232"/>
            <w:tcMar>
              <w:top w:w="90" w:type="dxa"/>
              <w:start w:w="100" w:type="dxa"/>
              <w:bottom w:w="90" w:type="dxa"/>
              <w:end w:w="100" w:type="dxa"/>
            </w:tcMar>
            <w:vAlign w:val="center"/>
          </w:tcPr>
          <w:p>
            <w:pPr>
              <w:spacing w:after="0"/>
            </w:pPr>
            <w:r>
              <w:rPr>
                <w:sz w:val="16"/>
              </w:rPr>
              <w:t>Portfolio watch</w:t>
            </w:r>
          </w:p>
        </w:tc>
        <w:tc>
          <w:tcPr>
            <w:tcW w:type="dxa" w:w="7848"/>
            <w:tcMar>
              <w:top w:w="90" w:type="dxa"/>
              <w:start w:w="100" w:type="dxa"/>
              <w:bottom w:w="90" w:type="dxa"/>
              <w:end w:w="100" w:type="dxa"/>
            </w:tcMar>
            <w:vAlign w:val="center"/>
          </w:tcPr>
          <w:p>
            <w:pPr>
              <w:spacing w:after="0"/>
            </w:pPr>
            <w:r>
              <w:rPr>
                <w:sz w:val="16"/>
              </w:rPr>
              <w:t>Hits, rising programs, fatigue, at-risk shows, expensive underperformers, development pipeline.</w:t>
            </w:r>
          </w:p>
        </w:tc>
      </w:tr>
      <w:tr>
        <w:trPr>
          <w:cantSplit/>
        </w:trPr>
        <w:tc>
          <w:tcPr>
            <w:tcW w:type="dxa" w:w="2232"/>
            <w:tcMar>
              <w:top w:w="90" w:type="dxa"/>
              <w:start w:w="100" w:type="dxa"/>
              <w:bottom w:w="90" w:type="dxa"/>
              <w:end w:w="100" w:type="dxa"/>
            </w:tcMar>
            <w:vAlign w:val="center"/>
          </w:tcPr>
          <w:p>
            <w:pPr>
              <w:spacing w:after="0"/>
            </w:pPr>
            <w:r>
              <w:rPr>
                <w:sz w:val="16"/>
              </w:rPr>
              <w:t>Competitor moves</w:t>
            </w:r>
          </w:p>
        </w:tc>
        <w:tc>
          <w:tcPr>
            <w:tcW w:type="dxa" w:w="7848"/>
            <w:tcMar>
              <w:top w:w="90" w:type="dxa"/>
              <w:start w:w="100" w:type="dxa"/>
              <w:bottom w:w="90" w:type="dxa"/>
              <w:end w:w="100" w:type="dxa"/>
            </w:tcMar>
            <w:vAlign w:val="center"/>
          </w:tcPr>
          <w:p>
            <w:pPr>
              <w:spacing w:after="0"/>
            </w:pPr>
            <w:r>
              <w:rPr>
                <w:sz w:val="16"/>
              </w:rPr>
              <w:t>Premieres, cancellations, hires, acquisitions, bids, schedule changes, market entries.</w:t>
            </w:r>
          </w:p>
        </w:tc>
      </w:tr>
      <w:tr>
        <w:trPr>
          <w:cantSplit/>
        </w:trPr>
        <w:tc>
          <w:tcPr>
            <w:tcW w:type="dxa" w:w="2232"/>
            <w:tcMar>
              <w:top w:w="90" w:type="dxa"/>
              <w:start w:w="100" w:type="dxa"/>
              <w:bottom w:w="90" w:type="dxa"/>
              <w:end w:w="100" w:type="dxa"/>
            </w:tcMar>
            <w:vAlign w:val="center"/>
          </w:tcPr>
          <w:p>
            <w:pPr>
              <w:spacing w:after="0"/>
            </w:pPr>
            <w:r>
              <w:rPr>
                <w:sz w:val="16"/>
              </w:rPr>
              <w:t>Chronicle stories</w:t>
            </w:r>
          </w:p>
        </w:tc>
        <w:tc>
          <w:tcPr>
            <w:tcW w:type="dxa" w:w="7848"/>
            <w:tcMar>
              <w:top w:w="90" w:type="dxa"/>
              <w:start w:w="100" w:type="dxa"/>
              <w:bottom w:w="90" w:type="dxa"/>
              <w:end w:w="100" w:type="dxa"/>
            </w:tcMar>
            <w:vAlign w:val="center"/>
          </w:tcPr>
          <w:p>
            <w:pPr>
              <w:spacing w:after="0"/>
            </w:pPr>
            <w:r>
              <w:rPr>
                <w:sz w:val="16"/>
              </w:rPr>
              <w:t>Narrative summaries connecting data to the evolving industry history.</w:t>
            </w:r>
          </w:p>
        </w:tc>
      </w:tr>
    </w:tbl>
    <w:p>
      <w:pPr>
        <w:spacing w:after="0"/>
      </w:pPr>
    </w:p>
    <w:p>
      <w:pPr>
        <w:pStyle w:val="Heading2"/>
      </w:pPr>
      <w:r>
        <w:t>18.1 Website suite</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6"/>
              </w:rPr>
              <w:t>Site / tab</w:t>
            </w:r>
          </w:p>
        </w:tc>
        <w:tc>
          <w:tcPr>
            <w:tcW w:type="dxa" w:w="7848"/>
            <w:shd w:fill="1F4E79"/>
            <w:tcMar>
              <w:top w:w="90" w:type="dxa"/>
              <w:start w:w="100" w:type="dxa"/>
              <w:bottom w:w="90" w:type="dxa"/>
              <w:end w:w="100" w:type="dxa"/>
            </w:tcMar>
            <w:vAlign w:val="center"/>
          </w:tcPr>
          <w:p>
            <w:pPr>
              <w:jc w:val="center"/>
            </w:pPr>
            <w:r>
              <w:rPr>
                <w:b/>
                <w:color w:val="FFFFFF"/>
                <w:sz w:val="16"/>
              </w:rPr>
              <w:t>Interaction fantasy</w:t>
            </w:r>
          </w:p>
        </w:tc>
      </w:tr>
      <w:tr>
        <w:trPr>
          <w:cantSplit/>
        </w:trPr>
        <w:tc>
          <w:tcPr>
            <w:tcW w:type="dxa" w:w="2232"/>
            <w:tcMar>
              <w:top w:w="90" w:type="dxa"/>
              <w:start w:w="100" w:type="dxa"/>
              <w:bottom w:w="90" w:type="dxa"/>
              <w:end w:w="100" w:type="dxa"/>
            </w:tcMar>
            <w:vAlign w:val="center"/>
          </w:tcPr>
          <w:p>
            <w:pPr>
              <w:spacing w:after="0"/>
            </w:pPr>
            <w:r>
              <w:rPr>
                <w:sz w:val="16"/>
              </w:rPr>
              <w:t>Executive Portal</w:t>
            </w:r>
          </w:p>
        </w:tc>
        <w:tc>
          <w:tcPr>
            <w:tcW w:type="dxa" w:w="7848"/>
            <w:tcMar>
              <w:top w:w="90" w:type="dxa"/>
              <w:start w:w="100" w:type="dxa"/>
              <w:bottom w:w="90" w:type="dxa"/>
              <w:end w:w="100" w:type="dxa"/>
            </w:tcMar>
            <w:vAlign w:val="center"/>
          </w:tcPr>
          <w:p>
            <w:pPr>
              <w:spacing w:after="0"/>
            </w:pPr>
            <w:r>
              <w:rPr>
                <w:sz w:val="16"/>
              </w:rPr>
              <w:t>Internal corporate home and decision queue.</w:t>
            </w:r>
          </w:p>
        </w:tc>
      </w:tr>
      <w:tr>
        <w:trPr>
          <w:cantSplit/>
        </w:trPr>
        <w:tc>
          <w:tcPr>
            <w:tcW w:type="dxa" w:w="2232"/>
            <w:tcMar>
              <w:top w:w="90" w:type="dxa"/>
              <w:start w:w="100" w:type="dxa"/>
              <w:bottom w:w="90" w:type="dxa"/>
              <w:end w:w="100" w:type="dxa"/>
            </w:tcMar>
            <w:vAlign w:val="center"/>
          </w:tcPr>
          <w:p>
            <w:pPr>
              <w:spacing w:after="0"/>
            </w:pPr>
            <w:r>
              <w:rPr>
                <w:sz w:val="16"/>
              </w:rPr>
              <w:t>Nielsen Center</w:t>
            </w:r>
          </w:p>
        </w:tc>
        <w:tc>
          <w:tcPr>
            <w:tcW w:type="dxa" w:w="7848"/>
            <w:tcMar>
              <w:top w:w="90" w:type="dxa"/>
              <w:start w:w="100" w:type="dxa"/>
              <w:bottom w:w="90" w:type="dxa"/>
              <w:end w:w="100" w:type="dxa"/>
            </w:tcMar>
            <w:vAlign w:val="center"/>
          </w:tcPr>
          <w:p>
            <w:pPr>
              <w:spacing w:after="0"/>
            </w:pPr>
            <w:r>
              <w:rPr>
                <w:sz w:val="16"/>
              </w:rPr>
              <w:t>Industry ratings and audience analytics.</w:t>
            </w:r>
          </w:p>
        </w:tc>
      </w:tr>
      <w:tr>
        <w:trPr>
          <w:cantSplit/>
        </w:trPr>
        <w:tc>
          <w:tcPr>
            <w:tcW w:type="dxa" w:w="2232"/>
            <w:tcMar>
              <w:top w:w="90" w:type="dxa"/>
              <w:start w:w="100" w:type="dxa"/>
              <w:bottom w:w="90" w:type="dxa"/>
              <w:end w:w="100" w:type="dxa"/>
            </w:tcMar>
            <w:vAlign w:val="center"/>
          </w:tcPr>
          <w:p>
            <w:pPr>
              <w:spacing w:after="0"/>
            </w:pPr>
            <w:r>
              <w:rPr>
                <w:sz w:val="16"/>
              </w:rPr>
              <w:t>ScreenScore</w:t>
            </w:r>
          </w:p>
        </w:tc>
        <w:tc>
          <w:tcPr>
            <w:tcW w:type="dxa" w:w="7848"/>
            <w:tcMar>
              <w:top w:w="90" w:type="dxa"/>
              <w:start w:w="100" w:type="dxa"/>
              <w:bottom w:w="90" w:type="dxa"/>
              <w:end w:w="100" w:type="dxa"/>
            </w:tcMar>
            <w:vAlign w:val="center"/>
          </w:tcPr>
          <w:p>
            <w:pPr>
              <w:spacing w:after="0"/>
            </w:pPr>
            <w:r>
              <w:rPr>
                <w:sz w:val="16"/>
              </w:rPr>
              <w:t>Critic, audience, reviews, awards, and program discovery.</w:t>
            </w:r>
          </w:p>
        </w:tc>
      </w:tr>
      <w:tr>
        <w:trPr>
          <w:cantSplit/>
        </w:trPr>
        <w:tc>
          <w:tcPr>
            <w:tcW w:type="dxa" w:w="2232"/>
            <w:tcMar>
              <w:top w:w="90" w:type="dxa"/>
              <w:start w:w="100" w:type="dxa"/>
              <w:bottom w:w="90" w:type="dxa"/>
              <w:end w:w="100" w:type="dxa"/>
            </w:tcMar>
            <w:vAlign w:val="center"/>
          </w:tcPr>
          <w:p>
            <w:pPr>
              <w:spacing w:after="0"/>
            </w:pPr>
            <w:r>
              <w:rPr>
                <w:sz w:val="16"/>
              </w:rPr>
              <w:t>Talent Network</w:t>
            </w:r>
          </w:p>
        </w:tc>
        <w:tc>
          <w:tcPr>
            <w:tcW w:type="dxa" w:w="7848"/>
            <w:tcMar>
              <w:top w:w="90" w:type="dxa"/>
              <w:start w:w="100" w:type="dxa"/>
              <w:bottom w:w="90" w:type="dxa"/>
              <w:end w:w="100" w:type="dxa"/>
            </w:tcMar>
            <w:vAlign w:val="center"/>
          </w:tcPr>
          <w:p>
            <w:pPr>
              <w:spacing w:after="0"/>
            </w:pPr>
            <w:r>
              <w:rPr>
                <w:sz w:val="16"/>
              </w:rPr>
              <w:t>LinkedIn/IMDb Pro-style people search, profiles, availability, offers, and relationships.</w:t>
            </w:r>
          </w:p>
        </w:tc>
      </w:tr>
      <w:tr>
        <w:trPr>
          <w:cantSplit/>
        </w:trPr>
        <w:tc>
          <w:tcPr>
            <w:tcW w:type="dxa" w:w="2232"/>
            <w:tcMar>
              <w:top w:w="90" w:type="dxa"/>
              <w:start w:w="100" w:type="dxa"/>
              <w:bottom w:w="90" w:type="dxa"/>
              <w:end w:w="100" w:type="dxa"/>
            </w:tcMar>
            <w:vAlign w:val="center"/>
          </w:tcPr>
          <w:p>
            <w:pPr>
              <w:spacing w:after="0"/>
            </w:pPr>
            <w:r>
              <w:rPr>
                <w:sz w:val="16"/>
              </w:rPr>
              <w:t>Creative Studio</w:t>
            </w:r>
          </w:p>
        </w:tc>
        <w:tc>
          <w:tcPr>
            <w:tcW w:type="dxa" w:w="7848"/>
            <w:tcMar>
              <w:top w:w="90" w:type="dxa"/>
              <w:start w:w="100" w:type="dxa"/>
              <w:bottom w:w="90" w:type="dxa"/>
              <w:end w:w="100" w:type="dxa"/>
            </w:tcMar>
            <w:vAlign w:val="center"/>
          </w:tcPr>
          <w:p>
            <w:pPr>
              <w:spacing w:after="0"/>
            </w:pPr>
            <w:r>
              <w:rPr>
                <w:sz w:val="16"/>
              </w:rPr>
              <w:t>Project ideation, script rooms, development notes, greenlights, production packages.</w:t>
            </w:r>
          </w:p>
        </w:tc>
      </w:tr>
      <w:tr>
        <w:trPr>
          <w:cantSplit/>
        </w:trPr>
        <w:tc>
          <w:tcPr>
            <w:tcW w:type="dxa" w:w="2232"/>
            <w:tcMar>
              <w:top w:w="90" w:type="dxa"/>
              <w:start w:w="100" w:type="dxa"/>
              <w:bottom w:w="90" w:type="dxa"/>
              <w:end w:w="100" w:type="dxa"/>
            </w:tcMar>
            <w:vAlign w:val="center"/>
          </w:tcPr>
          <w:p>
            <w:pPr>
              <w:spacing w:after="0"/>
            </w:pPr>
            <w:r>
              <w:rPr>
                <w:sz w:val="16"/>
              </w:rPr>
              <w:t>Rights Exchange</w:t>
            </w:r>
          </w:p>
        </w:tc>
        <w:tc>
          <w:tcPr>
            <w:tcW w:type="dxa" w:w="7848"/>
            <w:tcMar>
              <w:top w:w="90" w:type="dxa"/>
              <w:start w:w="100" w:type="dxa"/>
              <w:bottom w:w="90" w:type="dxa"/>
              <w:end w:w="100" w:type="dxa"/>
            </w:tcMar>
            <w:vAlign w:val="center"/>
          </w:tcPr>
          <w:p>
            <w:pPr>
              <w:spacing w:after="0"/>
            </w:pPr>
            <w:r>
              <w:rPr>
                <w:sz w:val="16"/>
              </w:rPr>
              <w:t>Auctions, packages, contracts, territorial clearances, bidding intelligence.</w:t>
            </w:r>
          </w:p>
        </w:tc>
      </w:tr>
      <w:tr>
        <w:trPr>
          <w:cantSplit/>
        </w:trPr>
        <w:tc>
          <w:tcPr>
            <w:tcW w:type="dxa" w:w="2232"/>
            <w:tcMar>
              <w:top w:w="90" w:type="dxa"/>
              <w:start w:w="100" w:type="dxa"/>
              <w:bottom w:w="90" w:type="dxa"/>
              <w:end w:w="100" w:type="dxa"/>
            </w:tcMar>
            <w:vAlign w:val="center"/>
          </w:tcPr>
          <w:p>
            <w:pPr>
              <w:spacing w:after="0"/>
            </w:pPr>
            <w:r>
              <w:rPr>
                <w:sz w:val="16"/>
              </w:rPr>
              <w:t>Program Grid</w:t>
            </w:r>
          </w:p>
        </w:tc>
        <w:tc>
          <w:tcPr>
            <w:tcW w:type="dxa" w:w="7848"/>
            <w:tcMar>
              <w:top w:w="90" w:type="dxa"/>
              <w:start w:w="100" w:type="dxa"/>
              <w:bottom w:w="90" w:type="dxa"/>
              <w:end w:w="100" w:type="dxa"/>
            </w:tcMar>
            <w:vAlign w:val="center"/>
          </w:tcPr>
          <w:p>
            <w:pPr>
              <w:spacing w:after="0"/>
            </w:pPr>
            <w:r>
              <w:rPr>
                <w:sz w:val="16"/>
              </w:rPr>
              <w:t>Outlook-style schedules and inventory.</w:t>
            </w:r>
          </w:p>
        </w:tc>
      </w:tr>
      <w:tr>
        <w:trPr>
          <w:cantSplit/>
        </w:trPr>
        <w:tc>
          <w:tcPr>
            <w:tcW w:type="dxa" w:w="2232"/>
            <w:tcMar>
              <w:top w:w="90" w:type="dxa"/>
              <w:start w:w="100" w:type="dxa"/>
              <w:bottom w:w="90" w:type="dxa"/>
              <w:end w:w="100" w:type="dxa"/>
            </w:tcMar>
            <w:vAlign w:val="center"/>
          </w:tcPr>
          <w:p>
            <w:pPr>
              <w:spacing w:after="0"/>
            </w:pPr>
            <w:r>
              <w:rPr>
                <w:sz w:val="16"/>
              </w:rPr>
              <w:t>Sales Hub</w:t>
            </w:r>
          </w:p>
        </w:tc>
        <w:tc>
          <w:tcPr>
            <w:tcW w:type="dxa" w:w="7848"/>
            <w:tcMar>
              <w:top w:w="90" w:type="dxa"/>
              <w:start w:w="100" w:type="dxa"/>
              <w:bottom w:w="90" w:type="dxa"/>
              <w:end w:w="100" w:type="dxa"/>
            </w:tcMar>
            <w:vAlign w:val="center"/>
          </w:tcPr>
          <w:p>
            <w:pPr>
              <w:spacing w:after="0"/>
            </w:pPr>
            <w:r>
              <w:rPr>
                <w:sz w:val="16"/>
              </w:rPr>
              <w:t>Advertisers, sponsors, carriage, affiliates, syndication, orders, delivery.</w:t>
            </w:r>
          </w:p>
        </w:tc>
      </w:tr>
      <w:tr>
        <w:trPr>
          <w:cantSplit/>
        </w:trPr>
        <w:tc>
          <w:tcPr>
            <w:tcW w:type="dxa" w:w="2232"/>
            <w:tcMar>
              <w:top w:w="90" w:type="dxa"/>
              <w:start w:w="100" w:type="dxa"/>
              <w:bottom w:w="90" w:type="dxa"/>
              <w:end w:w="100" w:type="dxa"/>
            </w:tcMar>
            <w:vAlign w:val="center"/>
          </w:tcPr>
          <w:p>
            <w:pPr>
              <w:spacing w:after="0"/>
            </w:pPr>
            <w:r>
              <w:rPr>
                <w:sz w:val="16"/>
              </w:rPr>
              <w:t>Media ERP</w:t>
            </w:r>
          </w:p>
        </w:tc>
        <w:tc>
          <w:tcPr>
            <w:tcW w:type="dxa" w:w="7848"/>
            <w:tcMar>
              <w:top w:w="90" w:type="dxa"/>
              <w:start w:w="100" w:type="dxa"/>
              <w:bottom w:w="90" w:type="dxa"/>
              <w:end w:w="100" w:type="dxa"/>
            </w:tcMar>
            <w:vAlign w:val="center"/>
          </w:tcPr>
          <w:p>
            <w:pPr>
              <w:spacing w:after="0"/>
            </w:pPr>
            <w:r>
              <w:rPr>
                <w:sz w:val="16"/>
              </w:rPr>
              <w:t>Productions, facilities, procurement, staffing, deliveries, incidents.</w:t>
            </w:r>
          </w:p>
        </w:tc>
      </w:tr>
      <w:tr>
        <w:trPr>
          <w:cantSplit/>
        </w:trPr>
        <w:tc>
          <w:tcPr>
            <w:tcW w:type="dxa" w:w="2232"/>
            <w:tcMar>
              <w:top w:w="90" w:type="dxa"/>
              <w:start w:w="100" w:type="dxa"/>
              <w:bottom w:w="90" w:type="dxa"/>
              <w:end w:w="100" w:type="dxa"/>
            </w:tcMar>
            <w:vAlign w:val="center"/>
          </w:tcPr>
          <w:p>
            <w:pPr>
              <w:spacing w:after="0"/>
            </w:pPr>
            <w:r>
              <w:rPr>
                <w:sz w:val="16"/>
              </w:rPr>
              <w:t>Finance</w:t>
            </w:r>
          </w:p>
        </w:tc>
        <w:tc>
          <w:tcPr>
            <w:tcW w:type="dxa" w:w="7848"/>
            <w:tcMar>
              <w:top w:w="90" w:type="dxa"/>
              <w:start w:w="100" w:type="dxa"/>
              <w:bottom w:w="90" w:type="dxa"/>
              <w:end w:w="100" w:type="dxa"/>
            </w:tcMar>
            <w:vAlign w:val="center"/>
          </w:tcPr>
          <w:p>
            <w:pPr>
              <w:spacing w:after="0"/>
            </w:pPr>
            <w:r>
              <w:rPr>
                <w:sz w:val="16"/>
              </w:rPr>
              <w:t>Reports, forecasts, show economics, commitments, investments.</w:t>
            </w:r>
          </w:p>
        </w:tc>
      </w:tr>
      <w:tr>
        <w:trPr>
          <w:cantSplit/>
        </w:trPr>
        <w:tc>
          <w:tcPr>
            <w:tcW w:type="dxa" w:w="2232"/>
            <w:tcMar>
              <w:top w:w="90" w:type="dxa"/>
              <w:start w:w="100" w:type="dxa"/>
              <w:bottom w:w="90" w:type="dxa"/>
              <w:end w:w="100" w:type="dxa"/>
            </w:tcMar>
            <w:vAlign w:val="center"/>
          </w:tcPr>
          <w:p>
            <w:pPr>
              <w:spacing w:after="0"/>
            </w:pPr>
            <w:r>
              <w:rPr>
                <w:sz w:val="16"/>
              </w:rPr>
              <w:t>Research Lab</w:t>
            </w:r>
          </w:p>
        </w:tc>
        <w:tc>
          <w:tcPr>
            <w:tcW w:type="dxa" w:w="7848"/>
            <w:tcMar>
              <w:top w:w="90" w:type="dxa"/>
              <w:start w:w="100" w:type="dxa"/>
              <w:bottom w:w="90" w:type="dxa"/>
              <w:end w:w="100" w:type="dxa"/>
            </w:tcMar>
            <w:vAlign w:val="center"/>
          </w:tcPr>
          <w:p>
            <w:pPr>
              <w:spacing w:after="0"/>
            </w:pPr>
            <w:r>
              <w:rPr>
                <w:sz w:val="16"/>
              </w:rPr>
              <w:t>Technology, formats, institutional capabilities, facility plans.</w:t>
            </w:r>
          </w:p>
        </w:tc>
      </w:tr>
      <w:tr>
        <w:trPr>
          <w:cantSplit/>
        </w:trPr>
        <w:tc>
          <w:tcPr>
            <w:tcW w:type="dxa" w:w="2232"/>
            <w:tcMar>
              <w:top w:w="90" w:type="dxa"/>
              <w:start w:w="100" w:type="dxa"/>
              <w:bottom w:w="90" w:type="dxa"/>
              <w:end w:w="100" w:type="dxa"/>
            </w:tcMar>
            <w:vAlign w:val="center"/>
          </w:tcPr>
          <w:p>
            <w:pPr>
              <w:spacing w:after="0"/>
            </w:pPr>
            <w:r>
              <w:rPr>
                <w:sz w:val="16"/>
              </w:rPr>
              <w:t>The Chronicle</w:t>
            </w:r>
          </w:p>
        </w:tc>
        <w:tc>
          <w:tcPr>
            <w:tcW w:type="dxa" w:w="7848"/>
            <w:tcMar>
              <w:top w:w="90" w:type="dxa"/>
              <w:start w:w="100" w:type="dxa"/>
              <w:bottom w:w="90" w:type="dxa"/>
              <w:end w:w="100" w:type="dxa"/>
            </w:tcMar>
            <w:vAlign w:val="center"/>
          </w:tcPr>
          <w:p>
            <w:pPr>
              <w:spacing w:after="0"/>
            </w:pPr>
            <w:r>
              <w:rPr>
                <w:sz w:val="16"/>
              </w:rPr>
              <w:t>Trade newspaper and historical narrative.</w:t>
            </w:r>
          </w:p>
        </w:tc>
      </w:tr>
      <w:tr>
        <w:trPr>
          <w:cantSplit/>
        </w:trPr>
        <w:tc>
          <w:tcPr>
            <w:tcW w:type="dxa" w:w="2232"/>
            <w:tcMar>
              <w:top w:w="90" w:type="dxa"/>
              <w:start w:w="100" w:type="dxa"/>
              <w:bottom w:w="90" w:type="dxa"/>
              <w:end w:w="100" w:type="dxa"/>
            </w:tcMar>
            <w:vAlign w:val="center"/>
          </w:tcPr>
          <w:p>
            <w:pPr>
              <w:spacing w:after="0"/>
            </w:pPr>
            <w:r>
              <w:rPr>
                <w:sz w:val="16"/>
              </w:rPr>
              <w:t>Almanac</w:t>
            </w:r>
          </w:p>
        </w:tc>
        <w:tc>
          <w:tcPr>
            <w:tcW w:type="dxa" w:w="7848"/>
            <w:tcMar>
              <w:top w:w="90" w:type="dxa"/>
              <w:start w:w="100" w:type="dxa"/>
              <w:bottom w:w="90" w:type="dxa"/>
              <w:end w:w="100" w:type="dxa"/>
            </w:tcMar>
            <w:vAlign w:val="center"/>
          </w:tcPr>
          <w:p>
            <w:pPr>
              <w:spacing w:after="0"/>
            </w:pPr>
            <w:r>
              <w:rPr>
                <w:sz w:val="16"/>
              </w:rPr>
              <w:t>Complete records of programs, people, companies, awards, ratings, rights, and markets.</w:t>
            </w:r>
          </w:p>
        </w:tc>
      </w:tr>
    </w:tbl>
    <w:p>
      <w:pPr>
        <w:spacing w:after="0"/>
      </w:pPr>
    </w:p>
    <w:p>
      <w:pPr>
        <w:pStyle w:val="Heading1"/>
      </w:pPr>
      <w:r>
        <w:t>19. Narrative, History, and Almanac</w:t>
      </w:r>
    </w:p>
    <w:p>
      <w:r>
        <w:t>The game needs the same historical memory that makes the sports simulations addictive. A failed first-season drama can later become notable because its unknown supporting actor became the greatest star of the era. A local anchor can remain associated with the station for forty years. Rights eras, network identities, audience records, and corporate collapses should all be remembered.</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1F4E79"/>
            <w:tcMar>
              <w:top w:w="90" w:type="dxa"/>
              <w:start w:w="100" w:type="dxa"/>
              <w:bottom w:w="90" w:type="dxa"/>
              <w:end w:w="100" w:type="dxa"/>
            </w:tcMar>
            <w:vAlign w:val="center"/>
          </w:tcPr>
          <w:p>
            <w:pPr>
              <w:jc w:val="center"/>
            </w:pPr>
            <w:r>
              <w:rPr>
                <w:b/>
                <w:color w:val="FFFFFF"/>
                <w:sz w:val="16"/>
              </w:rPr>
              <w:t>Historical object</w:t>
            </w:r>
          </w:p>
        </w:tc>
        <w:tc>
          <w:tcPr>
            <w:tcW w:type="dxa" w:w="7992"/>
            <w:shd w:fill="1F4E79"/>
            <w:tcMar>
              <w:top w:w="90" w:type="dxa"/>
              <w:start w:w="100" w:type="dxa"/>
              <w:bottom w:w="90" w:type="dxa"/>
              <w:end w:w="100" w:type="dxa"/>
            </w:tcMar>
            <w:vAlign w:val="center"/>
          </w:tcPr>
          <w:p>
            <w:pPr>
              <w:jc w:val="center"/>
            </w:pPr>
            <w:r>
              <w:rPr>
                <w:b/>
                <w:color w:val="FFFFFF"/>
                <w:sz w:val="16"/>
              </w:rPr>
              <w:t>What is recorded</w:t>
            </w:r>
          </w:p>
        </w:tc>
      </w:tr>
      <w:tr>
        <w:trPr>
          <w:cantSplit/>
        </w:trPr>
        <w:tc>
          <w:tcPr>
            <w:tcW w:type="dxa" w:w="2088"/>
            <w:tcMar>
              <w:top w:w="90" w:type="dxa"/>
              <w:start w:w="100" w:type="dxa"/>
              <w:bottom w:w="90" w:type="dxa"/>
              <w:end w:w="100" w:type="dxa"/>
            </w:tcMar>
            <w:vAlign w:val="center"/>
          </w:tcPr>
          <w:p>
            <w:pPr>
              <w:spacing w:after="0"/>
            </w:pPr>
            <w:r>
              <w:rPr>
                <w:sz w:val="16"/>
              </w:rPr>
              <w:t>Program</w:t>
            </w:r>
          </w:p>
        </w:tc>
        <w:tc>
          <w:tcPr>
            <w:tcW w:type="dxa" w:w="7992"/>
            <w:tcMar>
              <w:top w:w="90" w:type="dxa"/>
              <w:start w:w="100" w:type="dxa"/>
              <w:bottom w:w="90" w:type="dxa"/>
              <w:end w:w="100" w:type="dxa"/>
            </w:tcMar>
            <w:vAlign w:val="center"/>
          </w:tcPr>
          <w:p>
            <w:pPr>
              <w:spacing w:after="0"/>
            </w:pPr>
            <w:r>
              <w:rPr>
                <w:sz w:val="16"/>
              </w:rPr>
              <w:t>Concept, identity, seasons, episodes, cast/crew, schedule history, ratings, reviews, awards, revenue, cost, ownership, cancellations, revivals.</w:t>
            </w:r>
          </w:p>
        </w:tc>
      </w:tr>
      <w:tr>
        <w:trPr>
          <w:cantSplit/>
        </w:trPr>
        <w:tc>
          <w:tcPr>
            <w:tcW w:type="dxa" w:w="2088"/>
            <w:tcMar>
              <w:top w:w="90" w:type="dxa"/>
              <w:start w:w="100" w:type="dxa"/>
              <w:bottom w:w="90" w:type="dxa"/>
              <w:end w:w="100" w:type="dxa"/>
            </w:tcMar>
            <w:vAlign w:val="center"/>
          </w:tcPr>
          <w:p>
            <w:pPr>
              <w:spacing w:after="0"/>
            </w:pPr>
            <w:r>
              <w:rPr>
                <w:sz w:val="16"/>
              </w:rPr>
              <w:t>Person</w:t>
            </w:r>
          </w:p>
        </w:tc>
        <w:tc>
          <w:tcPr>
            <w:tcW w:type="dxa" w:w="7992"/>
            <w:tcMar>
              <w:top w:w="90" w:type="dxa"/>
              <w:start w:w="100" w:type="dxa"/>
              <w:bottom w:w="90" w:type="dxa"/>
              <w:end w:w="100" w:type="dxa"/>
            </w:tcMar>
            <w:vAlign w:val="center"/>
          </w:tcPr>
          <w:p>
            <w:pPr>
              <w:spacing w:after="0"/>
            </w:pPr>
            <w:r>
              <w:rPr>
                <w:sz w:val="16"/>
              </w:rPr>
              <w:t>Roles, employers, projects, skills, rarity, fame, awards, compensation, relationships, controversies, retirements.</w:t>
            </w:r>
          </w:p>
        </w:tc>
      </w:tr>
      <w:tr>
        <w:trPr>
          <w:cantSplit/>
        </w:trPr>
        <w:tc>
          <w:tcPr>
            <w:tcW w:type="dxa" w:w="2088"/>
            <w:tcMar>
              <w:top w:w="90" w:type="dxa"/>
              <w:start w:w="100" w:type="dxa"/>
              <w:bottom w:w="90" w:type="dxa"/>
              <w:end w:w="100" w:type="dxa"/>
            </w:tcMar>
            <w:vAlign w:val="center"/>
          </w:tcPr>
          <w:p>
            <w:pPr>
              <w:spacing w:after="0"/>
            </w:pPr>
            <w:r>
              <w:rPr>
                <w:sz w:val="16"/>
              </w:rPr>
              <w:t>Company</w:t>
            </w:r>
          </w:p>
        </w:tc>
        <w:tc>
          <w:tcPr>
            <w:tcW w:type="dxa" w:w="7992"/>
            <w:tcMar>
              <w:top w:w="90" w:type="dxa"/>
              <w:start w:w="100" w:type="dxa"/>
              <w:bottom w:w="90" w:type="dxa"/>
              <w:end w:w="100" w:type="dxa"/>
            </w:tcMar>
            <w:vAlign w:val="center"/>
          </w:tcPr>
          <w:p>
            <w:pPr>
              <w:spacing w:after="0"/>
            </w:pPr>
            <w:r>
              <w:rPr>
                <w:sz w:val="16"/>
              </w:rPr>
              <w:t>Ownership, executives, reach, markets, channels, strategy, finances, mergers, brands, flagship content.</w:t>
            </w:r>
          </w:p>
        </w:tc>
      </w:tr>
      <w:tr>
        <w:trPr>
          <w:cantSplit/>
        </w:trPr>
        <w:tc>
          <w:tcPr>
            <w:tcW w:type="dxa" w:w="2088"/>
            <w:tcMar>
              <w:top w:w="90" w:type="dxa"/>
              <w:start w:w="100" w:type="dxa"/>
              <w:bottom w:w="90" w:type="dxa"/>
              <w:end w:w="100" w:type="dxa"/>
            </w:tcMar>
            <w:vAlign w:val="center"/>
          </w:tcPr>
          <w:p>
            <w:pPr>
              <w:spacing w:after="0"/>
            </w:pPr>
            <w:r>
              <w:rPr>
                <w:sz w:val="16"/>
              </w:rPr>
              <w:t>Market</w:t>
            </w:r>
          </w:p>
        </w:tc>
        <w:tc>
          <w:tcPr>
            <w:tcW w:type="dxa" w:w="7992"/>
            <w:tcMar>
              <w:top w:w="90" w:type="dxa"/>
              <w:start w:w="100" w:type="dxa"/>
              <w:bottom w:w="90" w:type="dxa"/>
              <w:end w:w="100" w:type="dxa"/>
            </w:tcMar>
            <w:vAlign w:val="center"/>
          </w:tcPr>
          <w:p>
            <w:pPr>
              <w:spacing w:after="0"/>
            </w:pPr>
            <w:r>
              <w:rPr>
                <w:sz w:val="16"/>
              </w:rPr>
              <w:t>Stations, rankings, audience shifts, major launches, local personalities, rights, acquisitions.</w:t>
            </w:r>
          </w:p>
        </w:tc>
      </w:tr>
      <w:tr>
        <w:trPr>
          <w:cantSplit/>
        </w:trPr>
        <w:tc>
          <w:tcPr>
            <w:tcW w:type="dxa" w:w="2088"/>
            <w:tcMar>
              <w:top w:w="90" w:type="dxa"/>
              <w:start w:w="100" w:type="dxa"/>
              <w:bottom w:w="90" w:type="dxa"/>
              <w:end w:w="100" w:type="dxa"/>
            </w:tcMar>
            <w:vAlign w:val="center"/>
          </w:tcPr>
          <w:p>
            <w:pPr>
              <w:spacing w:after="0"/>
            </w:pPr>
            <w:r>
              <w:rPr>
                <w:sz w:val="16"/>
              </w:rPr>
              <w:t>Rights property</w:t>
            </w:r>
          </w:p>
        </w:tc>
        <w:tc>
          <w:tcPr>
            <w:tcW w:type="dxa" w:w="7992"/>
            <w:tcMar>
              <w:top w:w="90" w:type="dxa"/>
              <w:start w:w="100" w:type="dxa"/>
              <w:bottom w:w="90" w:type="dxa"/>
              <w:end w:w="100" w:type="dxa"/>
            </w:tcMar>
            <w:vAlign w:val="center"/>
          </w:tcPr>
          <w:p>
            <w:pPr>
              <w:spacing w:after="0"/>
            </w:pPr>
            <w:r>
              <w:rPr>
                <w:sz w:val="16"/>
              </w:rPr>
              <w:t>Holders, fees, territories, audiences, production quality, iconic events, contract history.</w:t>
            </w:r>
          </w:p>
        </w:tc>
      </w:tr>
      <w:tr>
        <w:trPr>
          <w:cantSplit/>
        </w:trPr>
        <w:tc>
          <w:tcPr>
            <w:tcW w:type="dxa" w:w="2088"/>
            <w:tcMar>
              <w:top w:w="90" w:type="dxa"/>
              <w:start w:w="100" w:type="dxa"/>
              <w:bottom w:w="90" w:type="dxa"/>
              <w:end w:w="100" w:type="dxa"/>
            </w:tcMar>
            <w:vAlign w:val="center"/>
          </w:tcPr>
          <w:p>
            <w:pPr>
              <w:spacing w:after="0"/>
            </w:pPr>
            <w:r>
              <w:rPr>
                <w:sz w:val="16"/>
              </w:rPr>
              <w:t>Record books</w:t>
            </w:r>
          </w:p>
        </w:tc>
        <w:tc>
          <w:tcPr>
            <w:tcW w:type="dxa" w:w="7992"/>
            <w:tcMar>
              <w:top w:w="90" w:type="dxa"/>
              <w:start w:w="100" w:type="dxa"/>
              <w:bottom w:w="90" w:type="dxa"/>
              <w:end w:w="100" w:type="dxa"/>
            </w:tcMar>
            <w:vAlign w:val="center"/>
          </w:tcPr>
          <w:p>
            <w:pPr>
              <w:spacing w:after="0"/>
            </w:pPr>
            <w:r>
              <w:rPr>
                <w:sz w:val="16"/>
              </w:rPr>
              <w:t>Largest audiences, longest runs, most profitable programs, awards, careers, rights deals, failures, comebacks.</w:t>
            </w:r>
          </w:p>
        </w:tc>
      </w:tr>
    </w:tbl>
    <w:p>
      <w:pPr>
        <w:spacing w:after="0"/>
      </w:pPr>
    </w:p>
    <w:p>
      <w:pPr>
        <w:pStyle w:val="Heading2"/>
      </w:pPr>
      <w:r>
        <w:t>19.1 Weekly and seasonal narrative</w:t>
      </w:r>
    </w:p>
    <w:p>
      <w:pPr>
        <w:pStyle w:val="ListBullet"/>
      </w:pPr>
      <w:r>
        <w:t>Breakout performance: unknown actor, host, writer, director, or program suddenly rises.</w:t>
      </w:r>
    </w:p>
    <w:p>
      <w:pPr>
        <w:pStyle w:val="ListBullet"/>
      </w:pPr>
      <w:r>
        <w:t>Strategic momentum: a network wins a month, dominates a demographic, or successfully enters a market.</w:t>
      </w:r>
    </w:p>
    <w:p>
      <w:pPr>
        <w:pStyle w:val="ListBullet"/>
      </w:pPr>
      <w:r>
        <w:t>Creative story: an ambitious project survives development, collapses in production, or exceeds its script promise.</w:t>
      </w:r>
    </w:p>
    <w:p>
      <w:pPr>
        <w:pStyle w:val="ListBullet"/>
      </w:pPr>
      <w:r>
        <w:t>Commercial story: bidding war, sponsor loss, affiliate revolt, rights overpayment, surprise syndication success.</w:t>
      </w:r>
    </w:p>
    <w:p>
      <w:pPr>
        <w:pStyle w:val="ListBullet"/>
      </w:pPr>
      <w:r>
        <w:t>Career story: promotion, defection, reinvention, burnout, retirement, comeback, rivalry, or long partnership.</w:t>
      </w:r>
    </w:p>
    <w:p>
      <w:pPr>
        <w:pStyle w:val="ListBullet"/>
      </w:pPr>
      <w:r>
        <w:t>Historical context: compare current outcomes with network, market, genre, and industry records.</w:t>
      </w:r>
    </w:p>
    <w:p>
      <w:pPr>
        <w:pStyle w:val="Heading1"/>
      </w:pPr>
      <w:r>
        <w:t>20. AI Competitor Behavior</w:t>
      </w:r>
    </w:p>
    <w:p>
      <w:r>
        <w:t>Competitor AI should operate through the same broad constraints as the player, but at an abstraction appropriate for performance. Each company has strategy, leadership, finances, assets, capabilities, and a portfolio. It sets annual priorities and reacts monthly or at major events.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6"/>
              </w:rPr>
              <w:t>AI layer</w:t>
            </w:r>
          </w:p>
        </w:tc>
        <w:tc>
          <w:tcPr>
            <w:tcW w:type="dxa" w:w="7848"/>
            <w:shd w:fill="1F4E79"/>
            <w:tcMar>
              <w:top w:w="90" w:type="dxa"/>
              <w:start w:w="100" w:type="dxa"/>
              <w:bottom w:w="90" w:type="dxa"/>
              <w:end w:w="100" w:type="dxa"/>
            </w:tcMar>
            <w:vAlign w:val="center"/>
          </w:tcPr>
          <w:p>
            <w:pPr>
              <w:jc w:val="center"/>
            </w:pPr>
            <w:r>
              <w:rPr>
                <w:b/>
                <w:color w:val="FFFFFF"/>
                <w:sz w:val="16"/>
              </w:rPr>
              <w:t>Behavior</w:t>
            </w:r>
          </w:p>
        </w:tc>
      </w:tr>
      <w:tr>
        <w:trPr>
          <w:cantSplit/>
        </w:trPr>
        <w:tc>
          <w:tcPr>
            <w:tcW w:type="dxa" w:w="2232"/>
            <w:tcMar>
              <w:top w:w="90" w:type="dxa"/>
              <w:start w:w="100" w:type="dxa"/>
              <w:bottom w:w="90" w:type="dxa"/>
              <w:end w:w="100" w:type="dxa"/>
            </w:tcMar>
            <w:vAlign w:val="center"/>
          </w:tcPr>
          <w:p>
            <w:pPr>
              <w:spacing w:after="0"/>
            </w:pPr>
            <w:r>
              <w:rPr>
                <w:sz w:val="16"/>
              </w:rPr>
              <w:t>Annual strategy</w:t>
            </w:r>
          </w:p>
        </w:tc>
        <w:tc>
          <w:tcPr>
            <w:tcW w:type="dxa" w:w="7848"/>
            <w:tcMar>
              <w:top w:w="90" w:type="dxa"/>
              <w:start w:w="100" w:type="dxa"/>
              <w:bottom w:w="90" w:type="dxa"/>
              <w:end w:w="100" w:type="dxa"/>
            </w:tcMar>
            <w:vAlign w:val="center"/>
          </w:tcPr>
          <w:p>
            <w:pPr>
              <w:spacing w:after="0"/>
            </w:pPr>
            <w:r>
              <w:rPr>
                <w:sz w:val="16"/>
              </w:rPr>
              <w:t>Choose growth markets, target genres, rights priorities, distribution plan, capital posture, and cost targets.</w:t>
            </w:r>
          </w:p>
        </w:tc>
      </w:tr>
      <w:tr>
        <w:trPr>
          <w:cantSplit/>
        </w:trPr>
        <w:tc>
          <w:tcPr>
            <w:tcW w:type="dxa" w:w="2232"/>
            <w:tcMar>
              <w:top w:w="90" w:type="dxa"/>
              <w:start w:w="100" w:type="dxa"/>
              <w:bottom w:w="90" w:type="dxa"/>
              <w:end w:w="100" w:type="dxa"/>
            </w:tcMar>
            <w:vAlign w:val="center"/>
          </w:tcPr>
          <w:p>
            <w:pPr>
              <w:spacing w:after="0"/>
            </w:pPr>
            <w:r>
              <w:rPr>
                <w:sz w:val="16"/>
              </w:rPr>
              <w:t>Portfolio management</w:t>
            </w:r>
          </w:p>
        </w:tc>
        <w:tc>
          <w:tcPr>
            <w:tcW w:type="dxa" w:w="7848"/>
            <w:tcMar>
              <w:top w:w="90" w:type="dxa"/>
              <w:start w:w="100" w:type="dxa"/>
              <w:bottom w:w="90" w:type="dxa"/>
              <w:end w:w="100" w:type="dxa"/>
            </w:tcMar>
            <w:vAlign w:val="center"/>
          </w:tcPr>
          <w:p>
            <w:pPr>
              <w:spacing w:after="0"/>
            </w:pPr>
            <w:r>
              <w:rPr>
                <w:sz w:val="16"/>
              </w:rPr>
              <w:t>Develop projects, renew/cancel shows, acquire content, protect franchises, balance cost and schedule needs.</w:t>
            </w:r>
          </w:p>
        </w:tc>
      </w:tr>
      <w:tr>
        <w:trPr>
          <w:cantSplit/>
        </w:trPr>
        <w:tc>
          <w:tcPr>
            <w:tcW w:type="dxa" w:w="2232"/>
            <w:tcMar>
              <w:top w:w="90" w:type="dxa"/>
              <w:start w:w="100" w:type="dxa"/>
              <w:bottom w:w="90" w:type="dxa"/>
              <w:end w:w="100" w:type="dxa"/>
            </w:tcMar>
            <w:vAlign w:val="center"/>
          </w:tcPr>
          <w:p>
            <w:pPr>
              <w:spacing w:after="0"/>
            </w:pPr>
            <w:r>
              <w:rPr>
                <w:sz w:val="16"/>
              </w:rPr>
              <w:t>Market response</w:t>
            </w:r>
          </w:p>
        </w:tc>
        <w:tc>
          <w:tcPr>
            <w:tcW w:type="dxa" w:w="7848"/>
            <w:tcMar>
              <w:top w:w="90" w:type="dxa"/>
              <w:start w:w="100" w:type="dxa"/>
              <w:bottom w:w="90" w:type="dxa"/>
              <w:end w:w="100" w:type="dxa"/>
            </w:tcMar>
            <w:vAlign w:val="center"/>
          </w:tcPr>
          <w:p>
            <w:pPr>
              <w:spacing w:after="0"/>
            </w:pPr>
            <w:r>
              <w:rPr>
                <w:sz w:val="16"/>
              </w:rPr>
              <w:t>Counterprogram, poach talent, bid for rights, approach affiliates, adjust pricing, exploit player weaknesses.</w:t>
            </w:r>
          </w:p>
        </w:tc>
      </w:tr>
      <w:tr>
        <w:trPr>
          <w:cantSplit/>
        </w:trPr>
        <w:tc>
          <w:tcPr>
            <w:tcW w:type="dxa" w:w="2232"/>
            <w:tcMar>
              <w:top w:w="90" w:type="dxa"/>
              <w:start w:w="100" w:type="dxa"/>
              <w:bottom w:w="90" w:type="dxa"/>
              <w:end w:w="100" w:type="dxa"/>
            </w:tcMar>
            <w:vAlign w:val="center"/>
          </w:tcPr>
          <w:p>
            <w:pPr>
              <w:spacing w:after="0"/>
            </w:pPr>
            <w:r>
              <w:rPr>
                <w:sz w:val="16"/>
              </w:rPr>
              <w:t>Organizational behavior</w:t>
            </w:r>
          </w:p>
        </w:tc>
        <w:tc>
          <w:tcPr>
            <w:tcW w:type="dxa" w:w="7848"/>
            <w:tcMar>
              <w:top w:w="90" w:type="dxa"/>
              <w:start w:w="100" w:type="dxa"/>
              <w:bottom w:w="90" w:type="dxa"/>
              <w:end w:w="100" w:type="dxa"/>
            </w:tcMar>
            <w:vAlign w:val="center"/>
          </w:tcPr>
          <w:p>
            <w:pPr>
              <w:spacing w:after="0"/>
            </w:pPr>
            <w:r>
              <w:rPr>
                <w:sz w:val="16"/>
              </w:rPr>
              <w:t>Hire leaders, invest in facilities/research, reorganize, merge, sell assets, seek partners.</w:t>
            </w:r>
          </w:p>
        </w:tc>
      </w:tr>
      <w:tr>
        <w:trPr>
          <w:cantSplit/>
        </w:trPr>
        <w:tc>
          <w:tcPr>
            <w:tcW w:type="dxa" w:w="2232"/>
            <w:tcMar>
              <w:top w:w="90" w:type="dxa"/>
              <w:start w:w="100" w:type="dxa"/>
              <w:bottom w:w="90" w:type="dxa"/>
              <w:end w:w="100" w:type="dxa"/>
            </w:tcMar>
            <w:vAlign w:val="center"/>
          </w:tcPr>
          <w:p>
            <w:pPr>
              <w:spacing w:after="0"/>
            </w:pPr>
            <w:r>
              <w:rPr>
                <w:sz w:val="16"/>
              </w:rPr>
              <w:t>Personality influence</w:t>
            </w:r>
          </w:p>
        </w:tc>
        <w:tc>
          <w:tcPr>
            <w:tcW w:type="dxa" w:w="7848"/>
            <w:tcMar>
              <w:top w:w="90" w:type="dxa"/>
              <w:start w:w="100" w:type="dxa"/>
              <w:bottom w:w="90" w:type="dxa"/>
              <w:end w:w="100" w:type="dxa"/>
            </w:tcMar>
            <w:vAlign w:val="center"/>
          </w:tcPr>
          <w:p>
            <w:pPr>
              <w:spacing w:after="0"/>
            </w:pPr>
            <w:r>
              <w:rPr>
                <w:sz w:val="16"/>
              </w:rPr>
              <w:t>Executives bias decisions based on archetype, experience, relationships, risk, and recent success.</w:t>
            </w:r>
          </w:p>
        </w:tc>
      </w:tr>
      <w:tr>
        <w:trPr>
          <w:cantSplit/>
        </w:trPr>
        <w:tc>
          <w:tcPr>
            <w:tcW w:type="dxa" w:w="2232"/>
            <w:tcMar>
              <w:top w:w="90" w:type="dxa"/>
              <w:start w:w="100" w:type="dxa"/>
              <w:bottom w:w="90" w:type="dxa"/>
              <w:end w:w="100" w:type="dxa"/>
            </w:tcMar>
            <w:vAlign w:val="center"/>
          </w:tcPr>
          <w:p>
            <w:pPr>
              <w:spacing w:after="0"/>
            </w:pPr>
            <w:r>
              <w:rPr>
                <w:sz w:val="16"/>
              </w:rPr>
              <w:t>Learning</w:t>
            </w:r>
          </w:p>
        </w:tc>
        <w:tc>
          <w:tcPr>
            <w:tcW w:type="dxa" w:w="7848"/>
            <w:tcMar>
              <w:top w:w="90" w:type="dxa"/>
              <w:start w:w="100" w:type="dxa"/>
              <w:bottom w:w="90" w:type="dxa"/>
              <w:end w:w="100" w:type="dxa"/>
            </w:tcMar>
            <w:vAlign w:val="center"/>
          </w:tcPr>
          <w:p>
            <w:pPr>
              <w:spacing w:after="0"/>
            </w:pPr>
            <w:r>
              <w:rPr>
                <w:sz w:val="16"/>
              </w:rPr>
              <w:t>Companies strengthen domains they repeatedly practice and may abandon areas after sustained failure.</w:t>
            </w:r>
          </w:p>
        </w:tc>
      </w:tr>
    </w:tbl>
    <w:p>
      <w:pPr>
        <w:spacing w:after="0"/>
      </w:pPr>
    </w:p>
    <w:p>
      <w:pPr>
        <w:pStyle w:val="Heading2"/>
      </w:pPr>
      <w:r>
        <w:t>20.1 Imperfect competition</w:t>
      </w:r>
    </w:p>
    <w:p>
      <w:r>
        <w:t>AI should not optimize perfectly. Networks misread audiences, protect executive favorites, chase trends too late, overpay for rights, cancel future classics, and occasionally discover brilliant strategies. However, mistakes should emerge from traits, information, pressure, and uncertainty—not arbitrary sabotage.</w:t>
      </w:r>
    </w:p>
    <w:p>
      <w:pPr>
        <w:pStyle w:val="Heading1"/>
      </w:pPr>
      <w:r>
        <w:t>21. Balance, Failure, and Replayability</w:t>
      </w:r>
    </w:p>
    <w:p>
      <w:pPr>
        <w:pStyle w:val="Heading2"/>
      </w:pPr>
      <w:r>
        <w:t>21.1 Failure should create decisions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6"/>
              </w:rPr>
              <w:t>Failure</w:t>
            </w:r>
          </w:p>
        </w:tc>
        <w:tc>
          <w:tcPr>
            <w:tcW w:type="dxa" w:w="7848"/>
            <w:shd w:fill="1F4E79"/>
            <w:tcMar>
              <w:top w:w="90" w:type="dxa"/>
              <w:start w:w="100" w:type="dxa"/>
              <w:bottom w:w="90" w:type="dxa"/>
              <w:end w:w="100" w:type="dxa"/>
            </w:tcMar>
            <w:vAlign w:val="center"/>
          </w:tcPr>
          <w:p>
            <w:pPr>
              <w:jc w:val="center"/>
            </w:pPr>
            <w:r>
              <w:rPr>
                <w:b/>
                <w:color w:val="FFFFFF"/>
                <w:sz w:val="16"/>
              </w:rPr>
              <w:t>Consequences and recovery</w:t>
            </w:r>
          </w:p>
        </w:tc>
      </w:tr>
      <w:tr>
        <w:trPr>
          <w:cantSplit/>
        </w:trPr>
        <w:tc>
          <w:tcPr>
            <w:tcW w:type="dxa" w:w="2232"/>
            <w:tcMar>
              <w:top w:w="90" w:type="dxa"/>
              <w:start w:w="100" w:type="dxa"/>
              <w:bottom w:w="90" w:type="dxa"/>
              <w:end w:w="100" w:type="dxa"/>
            </w:tcMar>
            <w:vAlign w:val="center"/>
          </w:tcPr>
          <w:p>
            <w:pPr>
              <w:spacing w:after="0"/>
            </w:pPr>
            <w:r>
              <w:rPr>
                <w:sz w:val="16"/>
              </w:rPr>
              <w:t>Show underperforms</w:t>
            </w:r>
          </w:p>
        </w:tc>
        <w:tc>
          <w:tcPr>
            <w:tcW w:type="dxa" w:w="7848"/>
            <w:tcMar>
              <w:top w:w="90" w:type="dxa"/>
              <w:start w:w="100" w:type="dxa"/>
              <w:bottom w:w="90" w:type="dxa"/>
              <w:end w:w="100" w:type="dxa"/>
            </w:tcMar>
            <w:vAlign w:val="center"/>
          </w:tcPr>
          <w:p>
            <w:pPr>
              <w:spacing w:after="0"/>
            </w:pPr>
            <w:r>
              <w:rPr>
                <w:sz w:val="16"/>
              </w:rPr>
              <w:t>Move it, market it, shorten order, revise, replace cast, sell it, pair it differently, cancel it.</w:t>
            </w:r>
          </w:p>
        </w:tc>
      </w:tr>
      <w:tr>
        <w:trPr>
          <w:cantSplit/>
        </w:trPr>
        <w:tc>
          <w:tcPr>
            <w:tcW w:type="dxa" w:w="2232"/>
            <w:tcMar>
              <w:top w:w="90" w:type="dxa"/>
              <w:start w:w="100" w:type="dxa"/>
              <w:bottom w:w="90" w:type="dxa"/>
              <w:end w:w="100" w:type="dxa"/>
            </w:tcMar>
            <w:vAlign w:val="center"/>
          </w:tcPr>
          <w:p>
            <w:pPr>
              <w:spacing w:after="0"/>
            </w:pPr>
            <w:r>
              <w:rPr>
                <w:sz w:val="16"/>
              </w:rPr>
              <w:t>Rights overpayment</w:t>
            </w:r>
          </w:p>
        </w:tc>
        <w:tc>
          <w:tcPr>
            <w:tcW w:type="dxa" w:w="7848"/>
            <w:tcMar>
              <w:top w:w="90" w:type="dxa"/>
              <w:start w:w="100" w:type="dxa"/>
              <w:bottom w:w="90" w:type="dxa"/>
              <w:end w:w="100" w:type="dxa"/>
            </w:tcMar>
            <w:vAlign w:val="center"/>
          </w:tcPr>
          <w:p>
            <w:pPr>
              <w:spacing w:after="0"/>
            </w:pPr>
            <w:r>
              <w:rPr>
                <w:sz w:val="16"/>
              </w:rPr>
              <w:t>Cut other spending, seek partners, sublicense, improve production, renegotiate carriage, accept losses.</w:t>
            </w:r>
          </w:p>
        </w:tc>
      </w:tr>
      <w:tr>
        <w:trPr>
          <w:cantSplit/>
        </w:trPr>
        <w:tc>
          <w:tcPr>
            <w:tcW w:type="dxa" w:w="2232"/>
            <w:tcMar>
              <w:top w:w="90" w:type="dxa"/>
              <w:start w:w="100" w:type="dxa"/>
              <w:bottom w:w="90" w:type="dxa"/>
              <w:end w:w="100" w:type="dxa"/>
            </w:tcMar>
            <w:vAlign w:val="center"/>
          </w:tcPr>
          <w:p>
            <w:pPr>
              <w:spacing w:after="0"/>
            </w:pPr>
            <w:r>
              <w:rPr>
                <w:sz w:val="16"/>
              </w:rPr>
              <w:t>Expansion stalls</w:t>
            </w:r>
          </w:p>
        </w:tc>
        <w:tc>
          <w:tcPr>
            <w:tcW w:type="dxa" w:w="7848"/>
            <w:tcMar>
              <w:top w:w="90" w:type="dxa"/>
              <w:start w:w="100" w:type="dxa"/>
              <w:bottom w:w="90" w:type="dxa"/>
              <w:end w:w="100" w:type="dxa"/>
            </w:tcMar>
            <w:vAlign w:val="center"/>
          </w:tcPr>
          <w:p>
            <w:pPr>
              <w:spacing w:after="0"/>
            </w:pPr>
            <w:r>
              <w:rPr>
                <w:sz w:val="16"/>
              </w:rPr>
              <w:t>Improve brand, acquire local content, change distributor terms, buy a station, retreat, target another market.</w:t>
            </w:r>
          </w:p>
        </w:tc>
      </w:tr>
      <w:tr>
        <w:trPr>
          <w:cantSplit/>
        </w:trPr>
        <w:tc>
          <w:tcPr>
            <w:tcW w:type="dxa" w:w="2232"/>
            <w:tcMar>
              <w:top w:w="90" w:type="dxa"/>
              <w:start w:w="100" w:type="dxa"/>
              <w:bottom w:w="90" w:type="dxa"/>
              <w:end w:w="100" w:type="dxa"/>
            </w:tcMar>
            <w:vAlign w:val="center"/>
          </w:tcPr>
          <w:p>
            <w:pPr>
              <w:spacing w:after="0"/>
            </w:pPr>
            <w:r>
              <w:rPr>
                <w:sz w:val="16"/>
              </w:rPr>
              <w:t>Talent crisis</w:t>
            </w:r>
          </w:p>
        </w:tc>
        <w:tc>
          <w:tcPr>
            <w:tcW w:type="dxa" w:w="7848"/>
            <w:tcMar>
              <w:top w:w="90" w:type="dxa"/>
              <w:start w:w="100" w:type="dxa"/>
              <w:bottom w:w="90" w:type="dxa"/>
              <w:end w:w="100" w:type="dxa"/>
            </w:tcMar>
            <w:vAlign w:val="center"/>
          </w:tcPr>
          <w:p>
            <w:pPr>
              <w:spacing w:after="0"/>
            </w:pPr>
            <w:r>
              <w:rPr>
                <w:sz w:val="16"/>
              </w:rPr>
              <w:t>Renegotiate, recast, promote internal talent, delay, rewrite, repair relationships.</w:t>
            </w:r>
          </w:p>
        </w:tc>
      </w:tr>
      <w:tr>
        <w:trPr>
          <w:cantSplit/>
        </w:trPr>
        <w:tc>
          <w:tcPr>
            <w:tcW w:type="dxa" w:w="2232"/>
            <w:tcMar>
              <w:top w:w="90" w:type="dxa"/>
              <w:start w:w="100" w:type="dxa"/>
              <w:bottom w:w="90" w:type="dxa"/>
              <w:end w:w="100" w:type="dxa"/>
            </w:tcMar>
            <w:vAlign w:val="center"/>
          </w:tcPr>
          <w:p>
            <w:pPr>
              <w:spacing w:after="0"/>
            </w:pPr>
            <w:r>
              <w:rPr>
                <w:sz w:val="16"/>
              </w:rPr>
              <w:t>Cash pressure</w:t>
            </w:r>
          </w:p>
        </w:tc>
        <w:tc>
          <w:tcPr>
            <w:tcW w:type="dxa" w:w="7848"/>
            <w:tcMar>
              <w:top w:w="90" w:type="dxa"/>
              <w:start w:w="100" w:type="dxa"/>
              <w:bottom w:w="90" w:type="dxa"/>
              <w:end w:w="100" w:type="dxa"/>
            </w:tcMar>
            <w:vAlign w:val="center"/>
          </w:tcPr>
          <w:p>
            <w:pPr>
              <w:spacing w:after="0"/>
            </w:pPr>
            <w:r>
              <w:rPr>
                <w:sz w:val="16"/>
              </w:rPr>
              <w:t>Credit, asset sale, co-production, investor, budget reduction, cancellation, merger, restructuring.</w:t>
            </w:r>
          </w:p>
        </w:tc>
      </w:tr>
      <w:tr>
        <w:trPr>
          <w:cantSplit/>
        </w:trPr>
        <w:tc>
          <w:tcPr>
            <w:tcW w:type="dxa" w:w="2232"/>
            <w:tcMar>
              <w:top w:w="90" w:type="dxa"/>
              <w:start w:w="100" w:type="dxa"/>
              <w:bottom w:w="90" w:type="dxa"/>
              <w:end w:w="100" w:type="dxa"/>
            </w:tcMar>
            <w:vAlign w:val="center"/>
          </w:tcPr>
          <w:p>
            <w:pPr>
              <w:spacing w:after="0"/>
            </w:pPr>
            <w:r>
              <w:rPr>
                <w:sz w:val="16"/>
              </w:rPr>
              <w:t>Reputation damage</w:t>
            </w:r>
          </w:p>
        </w:tc>
        <w:tc>
          <w:tcPr>
            <w:tcW w:type="dxa" w:w="7848"/>
            <w:tcMar>
              <w:top w:w="90" w:type="dxa"/>
              <w:start w:w="100" w:type="dxa"/>
              <w:bottom w:w="90" w:type="dxa"/>
              <w:end w:w="100" w:type="dxa"/>
            </w:tcMar>
            <w:vAlign w:val="center"/>
          </w:tcPr>
          <w:p>
            <w:pPr>
              <w:spacing w:after="0"/>
            </w:pPr>
            <w:r>
              <w:rPr>
                <w:sz w:val="16"/>
              </w:rPr>
              <w:t>Apology, investigation, leadership change, standards investment, programming shift, sponsor repair.</w:t>
            </w:r>
          </w:p>
        </w:tc>
      </w:tr>
    </w:tbl>
    <w:p>
      <w:pPr>
        <w:spacing w:after="0"/>
      </w:pPr>
    </w:p>
    <w:p>
      <w:pPr>
        <w:pStyle w:val="Heading2"/>
      </w:pPr>
      <w:r>
        <w:t>21.2 Replayability sources</w:t>
      </w:r>
    </w:p>
    <w:p>
      <w:pPr>
        <w:pStyle w:val="ListBullet"/>
      </w:pPr>
      <w:r>
        <w:t>Different starting station strengths, markets, owners, finances, facilities, and inherited contracts.</w:t>
      </w:r>
    </w:p>
    <w:p>
      <w:pPr>
        <w:pStyle w:val="ListBullet"/>
      </w:pPr>
      <w:r>
        <w:t>Procedural people, competitors, rights cycles, cultural trends, and successful genres.</w:t>
      </w:r>
    </w:p>
    <w:p>
      <w:pPr>
        <w:pStyle w:val="ListBullet"/>
      </w:pPr>
      <w:r>
        <w:t>Distinct strategies and distribution paths.</w:t>
      </w:r>
    </w:p>
    <w:p>
      <w:pPr>
        <w:pStyle w:val="ListBullet"/>
      </w:pPr>
      <w:r>
        <w:t>Generated programs with persistent identities and careers.</w:t>
      </w:r>
    </w:p>
    <w:p>
      <w:pPr>
        <w:pStyle w:val="ListBullet"/>
      </w:pPr>
      <w:r>
        <w:t>Leadership succession and changing board expectations over decades.</w:t>
      </w:r>
    </w:p>
    <w:p>
      <w:pPr>
        <w:pStyle w:val="ListBullet"/>
      </w:pPr>
      <w:r>
        <w:t>Historical goals: build the greatest local station, most watched network, best studio, strongest news brand, or most profitable empire.</w:t>
      </w:r>
    </w:p>
    <w:p>
      <w:pPr>
        <w:pStyle w:val="Heading1"/>
      </w:pPr>
      <w:r>
        <w:t>22. Data Model and Simulation Rules</w:t>
      </w:r>
    </w:p>
    <w:p>
      <w:pPr>
        <w:pStyle w:val="Heading2"/>
      </w:pPr>
      <w:r>
        <w:t>22.1 Core objects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232"/>
            <w:shd w:fill="1F4E79"/>
            <w:tcMar>
              <w:top w:w="90" w:type="dxa"/>
              <w:start w:w="100" w:type="dxa"/>
              <w:bottom w:w="90" w:type="dxa"/>
              <w:end w:w="100" w:type="dxa"/>
            </w:tcMar>
            <w:vAlign w:val="center"/>
          </w:tcPr>
          <w:p>
            <w:pPr>
              <w:jc w:val="center"/>
            </w:pPr>
            <w:r>
              <w:rPr>
                <w:b/>
                <w:color w:val="FFFFFF"/>
                <w:sz w:val="15"/>
              </w:rPr>
              <w:t>Object</w:t>
            </w:r>
          </w:p>
        </w:tc>
        <w:tc>
          <w:tcPr>
            <w:tcW w:type="dxa" w:w="7848"/>
            <w:shd w:fill="1F4E79"/>
            <w:tcMar>
              <w:top w:w="90" w:type="dxa"/>
              <w:start w:w="100" w:type="dxa"/>
              <w:bottom w:w="90" w:type="dxa"/>
              <w:end w:w="100" w:type="dxa"/>
            </w:tcMar>
            <w:vAlign w:val="center"/>
          </w:tcPr>
          <w:p>
            <w:pPr>
              <w:jc w:val="center"/>
            </w:pPr>
            <w:r>
              <w:rPr>
                <w:b/>
                <w:color w:val="FFFFFF"/>
                <w:sz w:val="15"/>
              </w:rPr>
              <w:t>Essential fields</w:t>
            </w:r>
          </w:p>
        </w:tc>
      </w:tr>
      <w:tr>
        <w:trPr>
          <w:cantSplit/>
        </w:trPr>
        <w:tc>
          <w:tcPr>
            <w:tcW w:type="dxa" w:w="2232"/>
            <w:tcMar>
              <w:top w:w="90" w:type="dxa"/>
              <w:start w:w="100" w:type="dxa"/>
              <w:bottom w:w="90" w:type="dxa"/>
              <w:end w:w="100" w:type="dxa"/>
            </w:tcMar>
            <w:vAlign w:val="center"/>
          </w:tcPr>
          <w:p>
            <w:pPr>
              <w:spacing w:after="0"/>
            </w:pPr>
            <w:r>
              <w:rPr>
                <w:sz w:val="15"/>
              </w:rPr>
              <w:t>Company/network</w:t>
            </w:r>
          </w:p>
        </w:tc>
        <w:tc>
          <w:tcPr>
            <w:tcW w:type="dxa" w:w="7848"/>
            <w:tcMar>
              <w:top w:w="90" w:type="dxa"/>
              <w:start w:w="100" w:type="dxa"/>
              <w:bottom w:w="90" w:type="dxa"/>
              <w:end w:w="100" w:type="dxa"/>
            </w:tcMar>
            <w:vAlign w:val="center"/>
          </w:tcPr>
          <w:p>
            <w:pPr>
              <w:spacing w:after="0"/>
            </w:pPr>
            <w:r>
              <w:rPr>
                <w:sz w:val="15"/>
              </w:rPr>
              <w:t>Ownership, type, cash, debt, strategy, reputation, reach, markets, facilities, research, leaders, brands.</w:t>
            </w:r>
          </w:p>
        </w:tc>
      </w:tr>
      <w:tr>
        <w:trPr>
          <w:cantSplit/>
        </w:trPr>
        <w:tc>
          <w:tcPr>
            <w:tcW w:type="dxa" w:w="2232"/>
            <w:tcMar>
              <w:top w:w="90" w:type="dxa"/>
              <w:start w:w="100" w:type="dxa"/>
              <w:bottom w:w="90" w:type="dxa"/>
              <w:end w:w="100" w:type="dxa"/>
            </w:tcMar>
            <w:vAlign w:val="center"/>
          </w:tcPr>
          <w:p>
            <w:pPr>
              <w:spacing w:after="0"/>
            </w:pPr>
            <w:r>
              <w:rPr>
                <w:sz w:val="15"/>
              </w:rPr>
              <w:t>Channel/station/platform</w:t>
            </w:r>
          </w:p>
        </w:tc>
        <w:tc>
          <w:tcPr>
            <w:tcW w:type="dxa" w:w="7848"/>
            <w:tcMar>
              <w:top w:w="90" w:type="dxa"/>
              <w:start w:w="100" w:type="dxa"/>
              <w:bottom w:w="90" w:type="dxa"/>
              <w:end w:w="100" w:type="dxa"/>
            </w:tcMar>
            <w:vAlign w:val="center"/>
          </w:tcPr>
          <w:p>
            <w:pPr>
              <w:spacing w:after="0"/>
            </w:pPr>
            <w:r>
              <w:rPr>
                <w:sz w:val="15"/>
              </w:rPr>
              <w:t>Format, schedule, distribution, local variants, audience, ad inventory, technical capacity.</w:t>
            </w:r>
          </w:p>
        </w:tc>
      </w:tr>
      <w:tr>
        <w:trPr>
          <w:cantSplit/>
        </w:trPr>
        <w:tc>
          <w:tcPr>
            <w:tcW w:type="dxa" w:w="2232"/>
            <w:tcMar>
              <w:top w:w="90" w:type="dxa"/>
              <w:start w:w="100" w:type="dxa"/>
              <w:bottom w:w="90" w:type="dxa"/>
              <w:end w:w="100" w:type="dxa"/>
            </w:tcMar>
            <w:vAlign w:val="center"/>
          </w:tcPr>
          <w:p>
            <w:pPr>
              <w:spacing w:after="0"/>
            </w:pPr>
            <w:r>
              <w:rPr>
                <w:sz w:val="15"/>
              </w:rPr>
              <w:t>Market</w:t>
            </w:r>
          </w:p>
        </w:tc>
        <w:tc>
          <w:tcPr>
            <w:tcW w:type="dxa" w:w="7848"/>
            <w:tcMar>
              <w:top w:w="90" w:type="dxa"/>
              <w:start w:w="100" w:type="dxa"/>
              <w:bottom w:w="90" w:type="dxa"/>
              <w:end w:w="100" w:type="dxa"/>
            </w:tcMar>
            <w:vAlign w:val="center"/>
          </w:tcPr>
          <w:p>
            <w:pPr>
              <w:spacing w:after="0"/>
            </w:pPr>
            <w:r>
              <w:rPr>
                <w:sz w:val="15"/>
              </w:rPr>
              <w:t>Population, households, demographics, income, culture, advertisers, competitors, infrastructure, regulation.</w:t>
            </w:r>
          </w:p>
        </w:tc>
      </w:tr>
      <w:tr>
        <w:trPr>
          <w:cantSplit/>
        </w:trPr>
        <w:tc>
          <w:tcPr>
            <w:tcW w:type="dxa" w:w="2232"/>
            <w:tcMar>
              <w:top w:w="90" w:type="dxa"/>
              <w:start w:w="100" w:type="dxa"/>
              <w:bottom w:w="90" w:type="dxa"/>
              <w:end w:w="100" w:type="dxa"/>
            </w:tcMar>
            <w:vAlign w:val="center"/>
          </w:tcPr>
          <w:p>
            <w:pPr>
              <w:spacing w:after="0"/>
            </w:pPr>
            <w:r>
              <w:rPr>
                <w:sz w:val="15"/>
              </w:rPr>
              <w:t>Program/project</w:t>
            </w:r>
          </w:p>
        </w:tc>
        <w:tc>
          <w:tcPr>
            <w:tcW w:type="dxa" w:w="7848"/>
            <w:tcMar>
              <w:top w:w="90" w:type="dxa"/>
              <w:start w:w="100" w:type="dxa"/>
              <w:bottom w:w="90" w:type="dxa"/>
              <w:end w:w="100" w:type="dxa"/>
            </w:tcMar>
            <w:vAlign w:val="center"/>
          </w:tcPr>
          <w:p>
            <w:pPr>
              <w:spacing w:after="0"/>
            </w:pPr>
            <w:r>
              <w:rPr>
                <w:sz w:val="15"/>
              </w:rPr>
              <w:t>Category, subtype, format, creative DNA, identity, scripts, production, episodes, talent, rights, cost, results.</w:t>
            </w:r>
          </w:p>
        </w:tc>
      </w:tr>
      <w:tr>
        <w:trPr>
          <w:cantSplit/>
        </w:trPr>
        <w:tc>
          <w:tcPr>
            <w:tcW w:type="dxa" w:w="2232"/>
            <w:tcMar>
              <w:top w:w="90" w:type="dxa"/>
              <w:start w:w="100" w:type="dxa"/>
              <w:bottom w:w="90" w:type="dxa"/>
              <w:end w:w="100" w:type="dxa"/>
            </w:tcMar>
            <w:vAlign w:val="center"/>
          </w:tcPr>
          <w:p>
            <w:pPr>
              <w:spacing w:after="0"/>
            </w:pPr>
            <w:r>
              <w:rPr>
                <w:sz w:val="15"/>
              </w:rPr>
              <w:t>Person</w:t>
            </w:r>
          </w:p>
        </w:tc>
        <w:tc>
          <w:tcPr>
            <w:tcW w:type="dxa" w:w="7848"/>
            <w:tcMar>
              <w:top w:w="90" w:type="dxa"/>
              <w:start w:w="100" w:type="dxa"/>
              <w:bottom w:w="90" w:type="dxa"/>
              <w:end w:w="100" w:type="dxa"/>
            </w:tcMar>
            <w:vAlign w:val="center"/>
          </w:tcPr>
          <w:p>
            <w:pPr>
              <w:spacing w:after="0"/>
            </w:pPr>
            <w:r>
              <w:rPr>
                <w:sz w:val="15"/>
              </w:rPr>
              <w:t>Profession, rarity, potential, skills, style, traits, fame, relationships, contract, career, workload.</w:t>
            </w:r>
          </w:p>
        </w:tc>
      </w:tr>
      <w:tr>
        <w:trPr>
          <w:cantSplit/>
        </w:trPr>
        <w:tc>
          <w:tcPr>
            <w:tcW w:type="dxa" w:w="2232"/>
            <w:tcMar>
              <w:top w:w="90" w:type="dxa"/>
              <w:start w:w="100" w:type="dxa"/>
              <w:bottom w:w="90" w:type="dxa"/>
              <w:end w:w="100" w:type="dxa"/>
            </w:tcMar>
            <w:vAlign w:val="center"/>
          </w:tcPr>
          <w:p>
            <w:pPr>
              <w:spacing w:after="0"/>
            </w:pPr>
            <w:r>
              <w:rPr>
                <w:sz w:val="15"/>
              </w:rPr>
              <w:t>Contract</w:t>
            </w:r>
          </w:p>
        </w:tc>
        <w:tc>
          <w:tcPr>
            <w:tcW w:type="dxa" w:w="7848"/>
            <w:tcMar>
              <w:top w:w="90" w:type="dxa"/>
              <w:start w:w="100" w:type="dxa"/>
              <w:bottom w:w="90" w:type="dxa"/>
              <w:end w:w="100" w:type="dxa"/>
            </w:tcMar>
            <w:vAlign w:val="center"/>
          </w:tcPr>
          <w:p>
            <w:pPr>
              <w:spacing w:after="0"/>
            </w:pPr>
            <w:r>
              <w:rPr>
                <w:sz w:val="15"/>
              </w:rPr>
              <w:t>Parties, asset, territory, platform, term, rights, obligations, economics, options, termination.</w:t>
            </w:r>
          </w:p>
        </w:tc>
      </w:tr>
      <w:tr>
        <w:trPr>
          <w:cantSplit/>
        </w:trPr>
        <w:tc>
          <w:tcPr>
            <w:tcW w:type="dxa" w:w="2232"/>
            <w:tcMar>
              <w:top w:w="90" w:type="dxa"/>
              <w:start w:w="100" w:type="dxa"/>
              <w:bottom w:w="90" w:type="dxa"/>
              <w:end w:w="100" w:type="dxa"/>
            </w:tcMar>
            <w:vAlign w:val="center"/>
          </w:tcPr>
          <w:p>
            <w:pPr>
              <w:spacing w:after="0"/>
            </w:pPr>
            <w:r>
              <w:rPr>
                <w:sz w:val="15"/>
              </w:rPr>
              <w:t>Schedule item</w:t>
            </w:r>
          </w:p>
        </w:tc>
        <w:tc>
          <w:tcPr>
            <w:tcW w:type="dxa" w:w="7848"/>
            <w:tcMar>
              <w:top w:w="90" w:type="dxa"/>
              <w:start w:w="100" w:type="dxa"/>
              <w:bottom w:w="90" w:type="dxa"/>
              <w:end w:w="100" w:type="dxa"/>
            </w:tcMar>
            <w:vAlign w:val="center"/>
          </w:tcPr>
          <w:p>
            <w:pPr>
              <w:spacing w:after="0"/>
            </w:pPr>
            <w:r>
              <w:rPr>
                <w:sz w:val="15"/>
              </w:rPr>
              <w:t>Channel, market variant, day, time/daypart, program, episode, rights clearance, sponsor, forecast, result.</w:t>
            </w:r>
          </w:p>
        </w:tc>
      </w:tr>
      <w:tr>
        <w:trPr>
          <w:cantSplit/>
        </w:trPr>
        <w:tc>
          <w:tcPr>
            <w:tcW w:type="dxa" w:w="2232"/>
            <w:tcMar>
              <w:top w:w="90" w:type="dxa"/>
              <w:start w:w="100" w:type="dxa"/>
              <w:bottom w:w="90" w:type="dxa"/>
              <w:end w:w="100" w:type="dxa"/>
            </w:tcMar>
            <w:vAlign w:val="center"/>
          </w:tcPr>
          <w:p>
            <w:pPr>
              <w:spacing w:after="0"/>
            </w:pPr>
            <w:r>
              <w:rPr>
                <w:sz w:val="15"/>
              </w:rPr>
              <w:t>Audience segment</w:t>
            </w:r>
          </w:p>
        </w:tc>
        <w:tc>
          <w:tcPr>
            <w:tcW w:type="dxa" w:w="7848"/>
            <w:tcMar>
              <w:top w:w="90" w:type="dxa"/>
              <w:start w:w="100" w:type="dxa"/>
              <w:bottom w:w="90" w:type="dxa"/>
              <w:end w:w="100" w:type="dxa"/>
            </w:tcMar>
            <w:vAlign w:val="center"/>
          </w:tcPr>
          <w:p>
            <w:pPr>
              <w:spacing w:after="0"/>
            </w:pPr>
            <w:r>
              <w:rPr>
                <w:sz w:val="15"/>
              </w:rPr>
              <w:t>Demographics, tastes, habits, loyalty, access, price sensitivity, advertiser value.</w:t>
            </w:r>
          </w:p>
        </w:tc>
      </w:tr>
      <w:tr>
        <w:trPr>
          <w:cantSplit/>
        </w:trPr>
        <w:tc>
          <w:tcPr>
            <w:tcW w:type="dxa" w:w="2232"/>
            <w:tcMar>
              <w:top w:w="90" w:type="dxa"/>
              <w:start w:w="100" w:type="dxa"/>
              <w:bottom w:w="90" w:type="dxa"/>
              <w:end w:w="100" w:type="dxa"/>
            </w:tcMar>
            <w:vAlign w:val="center"/>
          </w:tcPr>
          <w:p>
            <w:pPr>
              <w:spacing w:after="0"/>
            </w:pPr>
            <w:r>
              <w:rPr>
                <w:sz w:val="15"/>
              </w:rPr>
              <w:t>Facility/capability</w:t>
            </w:r>
          </w:p>
        </w:tc>
        <w:tc>
          <w:tcPr>
            <w:tcW w:type="dxa" w:w="7848"/>
            <w:tcMar>
              <w:top w:w="90" w:type="dxa"/>
              <w:start w:w="100" w:type="dxa"/>
              <w:bottom w:w="90" w:type="dxa"/>
              <w:end w:w="100" w:type="dxa"/>
            </w:tcMar>
            <w:vAlign w:val="center"/>
          </w:tcPr>
          <w:p>
            <w:pPr>
              <w:spacing w:after="0"/>
            </w:pPr>
            <w:r>
              <w:rPr>
                <w:sz w:val="15"/>
              </w:rPr>
              <w:t>Type, level, condition, specialization, capacity, operating cost, research dependency.</w:t>
            </w:r>
          </w:p>
        </w:tc>
      </w:tr>
    </w:tbl>
    <w:p>
      <w:pPr>
        <w:spacing w:after="0"/>
      </w:pPr>
    </w:p>
    <w:p>
      <w:pPr>
        <w:pStyle w:val="Heading2"/>
      </w:pPr>
      <w:r>
        <w:t>22.2 Program outcome pipeline</w:t>
      </w:r>
    </w:p>
    <w:p>
      <w:pPr>
        <w:pStyle w:val="ListNumber"/>
      </w:pPr>
      <w:r>
        <w:t>Calculate accessible households from distribution and territory.</w:t>
      </w:r>
    </w:p>
    <w:p>
      <w:pPr>
        <w:pStyle w:val="ListNumber"/>
      </w:pPr>
      <w:r>
        <w:t>Calculate awareness and consideration from brand, marketing, talent, history, and publicity.</w:t>
      </w:r>
    </w:p>
    <w:p>
      <w:pPr>
        <w:pStyle w:val="ListNumber"/>
      </w:pPr>
      <w:r>
        <w:t>Estimate sampling from concept appeal, daypart, competition, lead-in, platform placement, and event context.</w:t>
      </w:r>
    </w:p>
    <w:p>
      <w:pPr>
        <w:pStyle w:val="ListNumber"/>
      </w:pPr>
      <w:r>
        <w:t>Calculate experience quality from script, production, talent fit, execution, and technical delivery.</w:t>
      </w:r>
    </w:p>
    <w:p>
      <w:pPr>
        <w:pStyle w:val="ListNumber"/>
      </w:pPr>
      <w:r>
        <w:t>Convert experience into retention, word of mouth, reviews, loyalty, and future audience.</w:t>
      </w:r>
    </w:p>
    <w:p>
      <w:pPr>
        <w:pStyle w:val="ListNumber"/>
      </w:pPr>
      <w:r>
        <w:t>Monetize through advertising, subscription value, sponsorship, rights sales, and library value.</w:t>
      </w:r>
    </w:p>
    <w:p>
      <w:pPr>
        <w:pStyle w:val="ListNumber"/>
      </w:pPr>
      <w:r>
        <w:t>Record career, company, market, and historical consequences.</w:t>
      </w:r>
    </w:p>
    <w:p>
      <w:pPr>
        <w:pStyle w:val="Heading1"/>
      </w:pPr>
      <w:r>
        <w:t>23. Initial Playable Scope and Development Phases</w:t>
      </w:r>
    </w:p>
    <w:p>
      <w:r>
        <w:t>The full design is broad. The first build should prove the emotional and strategic loop without implementing every content form, contract clause, or market. Systems should be designed for expansion from the start.</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1F4E79"/>
            <w:tcMar>
              <w:top w:w="90" w:type="dxa"/>
              <w:start w:w="100" w:type="dxa"/>
              <w:bottom w:w="90" w:type="dxa"/>
              <w:end w:w="100" w:type="dxa"/>
            </w:tcMar>
            <w:vAlign w:val="center"/>
          </w:tcPr>
          <w:p>
            <w:pPr>
              <w:jc w:val="center"/>
            </w:pPr>
            <w:r>
              <w:rPr>
                <w:b/>
                <w:color w:val="FFFFFF"/>
                <w:sz w:val="15"/>
              </w:rPr>
              <w:t>Phase</w:t>
            </w:r>
          </w:p>
        </w:tc>
        <w:tc>
          <w:tcPr>
            <w:tcW w:type="dxa" w:w="5472"/>
            <w:shd w:fill="1F4E79"/>
            <w:tcMar>
              <w:top w:w="90" w:type="dxa"/>
              <w:start w:w="100" w:type="dxa"/>
              <w:bottom w:w="90" w:type="dxa"/>
              <w:end w:w="100" w:type="dxa"/>
            </w:tcMar>
            <w:vAlign w:val="center"/>
          </w:tcPr>
          <w:p>
            <w:pPr>
              <w:jc w:val="center"/>
            </w:pPr>
            <w:r>
              <w:rPr>
                <w:b/>
                <w:color w:val="FFFFFF"/>
                <w:sz w:val="15"/>
              </w:rPr>
              <w:t>Playable scope</w:t>
            </w:r>
          </w:p>
        </w:tc>
        <w:tc>
          <w:tcPr>
            <w:tcW w:type="dxa" w:w="2520"/>
            <w:shd w:fill="1F4E79"/>
            <w:tcMar>
              <w:top w:w="90" w:type="dxa"/>
              <w:start w:w="100" w:type="dxa"/>
              <w:bottom w:w="90" w:type="dxa"/>
              <w:end w:w="100" w:type="dxa"/>
            </w:tcMar>
            <w:vAlign w:val="center"/>
          </w:tcPr>
          <w:p>
            <w:pPr>
              <w:jc w:val="center"/>
            </w:pPr>
            <w:r>
              <w:rPr>
                <w:b/>
                <w:color w:val="FFFFFF"/>
                <w:sz w:val="15"/>
              </w:rPr>
              <w:t>Purpose</w:t>
            </w:r>
          </w:p>
        </w:tc>
      </w:tr>
      <w:tr>
        <w:trPr>
          <w:cantSplit/>
        </w:trPr>
        <w:tc>
          <w:tcPr>
            <w:tcW w:type="dxa" w:w="2088"/>
            <w:tcMar>
              <w:top w:w="90" w:type="dxa"/>
              <w:start w:w="100" w:type="dxa"/>
              <w:bottom w:w="90" w:type="dxa"/>
              <w:end w:w="100" w:type="dxa"/>
            </w:tcMar>
            <w:vAlign w:val="center"/>
          </w:tcPr>
          <w:p>
            <w:pPr>
              <w:spacing w:after="0"/>
            </w:pPr>
            <w:r>
              <w:rPr>
                <w:sz w:val="15"/>
              </w:rPr>
              <w:t>Phase 1 — Local station vertical slice</w:t>
            </w:r>
          </w:p>
        </w:tc>
        <w:tc>
          <w:tcPr>
            <w:tcW w:type="dxa" w:w="5472"/>
            <w:tcMar>
              <w:top w:w="90" w:type="dxa"/>
              <w:start w:w="100" w:type="dxa"/>
              <w:bottom w:w="90" w:type="dxa"/>
              <w:end w:w="100" w:type="dxa"/>
            </w:tcMar>
            <w:vAlign w:val="center"/>
          </w:tcPr>
          <w:p>
            <w:pPr>
              <w:spacing w:after="0"/>
            </w:pPr>
            <w:r>
              <w:rPr>
                <w:sz w:val="15"/>
              </w:rPr>
              <w:t>Northern Illinois station; 8–12 competitors; 8 markets; local transmission; limited cable; news, talk, drama, comedy, contest, reality, movies; basic talent; script-production-programming loop; ratings; ad sales; finance; weekly Chronicle.</w:t>
            </w:r>
          </w:p>
        </w:tc>
        <w:tc>
          <w:tcPr>
            <w:tcW w:type="dxa" w:w="2520"/>
            <w:tcMar>
              <w:top w:w="90" w:type="dxa"/>
              <w:start w:w="100" w:type="dxa"/>
              <w:bottom w:w="90" w:type="dxa"/>
              <w:end w:w="100" w:type="dxa"/>
            </w:tcMar>
            <w:vAlign w:val="center"/>
          </w:tcPr>
          <w:p>
            <w:pPr>
              <w:spacing w:after="0"/>
            </w:pPr>
            <w:r>
              <w:rPr>
                <w:sz w:val="15"/>
              </w:rPr>
              <w:t>Prove that running a media company through connected websites is fun.</w:t>
            </w:r>
          </w:p>
        </w:tc>
      </w:tr>
      <w:tr>
        <w:trPr>
          <w:cantSplit/>
        </w:trPr>
        <w:tc>
          <w:tcPr>
            <w:tcW w:type="dxa" w:w="2088"/>
            <w:tcMar>
              <w:top w:w="90" w:type="dxa"/>
              <w:start w:w="100" w:type="dxa"/>
              <w:bottom w:w="90" w:type="dxa"/>
              <w:end w:w="100" w:type="dxa"/>
            </w:tcMar>
            <w:vAlign w:val="center"/>
          </w:tcPr>
          <w:p>
            <w:pPr>
              <w:spacing w:after="0"/>
            </w:pPr>
            <w:r>
              <w:rPr>
                <w:sz w:val="15"/>
              </w:rPr>
              <w:t>Phase 2 — Regional expansion</w:t>
            </w:r>
          </w:p>
        </w:tc>
        <w:tc>
          <w:tcPr>
            <w:tcW w:type="dxa" w:w="5472"/>
            <w:tcMar>
              <w:top w:w="90" w:type="dxa"/>
              <w:start w:w="100" w:type="dxa"/>
              <w:bottom w:w="90" w:type="dxa"/>
              <w:end w:w="100" w:type="dxa"/>
            </w:tcMar>
            <w:vAlign w:val="center"/>
          </w:tcPr>
          <w:p>
            <w:pPr>
              <w:spacing w:after="0"/>
            </w:pPr>
            <w:r>
              <w:rPr>
                <w:sz w:val="15"/>
              </w:rPr>
              <w:t>Midwest map; repeaters, station acquisition, affiliates, regional sports, carriage, syndication; richer facilities/research; competitor market moves.</w:t>
            </w:r>
          </w:p>
        </w:tc>
        <w:tc>
          <w:tcPr>
            <w:tcW w:type="dxa" w:w="2520"/>
            <w:tcMar>
              <w:top w:w="90" w:type="dxa"/>
              <w:start w:w="100" w:type="dxa"/>
              <w:bottom w:w="90" w:type="dxa"/>
              <w:end w:w="100" w:type="dxa"/>
            </w:tcMar>
            <w:vAlign w:val="center"/>
          </w:tcPr>
          <w:p>
            <w:pPr>
              <w:spacing w:after="0"/>
            </w:pPr>
            <w:r>
              <w:rPr>
                <w:sz w:val="15"/>
              </w:rPr>
              <w:t>Prove geographic growth and differentiated paths.</w:t>
            </w:r>
          </w:p>
        </w:tc>
      </w:tr>
      <w:tr>
        <w:trPr>
          <w:cantSplit/>
        </w:trPr>
        <w:tc>
          <w:tcPr>
            <w:tcW w:type="dxa" w:w="2088"/>
            <w:tcMar>
              <w:top w:w="90" w:type="dxa"/>
              <w:start w:w="100" w:type="dxa"/>
              <w:bottom w:w="90" w:type="dxa"/>
              <w:end w:w="100" w:type="dxa"/>
            </w:tcMar>
            <w:vAlign w:val="center"/>
          </w:tcPr>
          <w:p>
            <w:pPr>
              <w:spacing w:after="0"/>
            </w:pPr>
            <w:r>
              <w:rPr>
                <w:sz w:val="15"/>
              </w:rPr>
              <w:t>Phase 3 — National industry</w:t>
            </w:r>
          </w:p>
        </w:tc>
        <w:tc>
          <w:tcPr>
            <w:tcW w:type="dxa" w:w="5472"/>
            <w:tcMar>
              <w:top w:w="90" w:type="dxa"/>
              <w:start w:w="100" w:type="dxa"/>
              <w:bottom w:w="90" w:type="dxa"/>
              <w:end w:w="100" w:type="dxa"/>
            </w:tcMar>
            <w:vAlign w:val="center"/>
          </w:tcPr>
          <w:p>
            <w:pPr>
              <w:spacing w:after="0"/>
            </w:pPr>
            <w:r>
              <w:rPr>
                <w:sz w:val="15"/>
              </w:rPr>
              <w:t>National networks, cable channels, streamers, major rights auctions, national advertising, mergers, awards, deeper talent and corporate careers.</w:t>
            </w:r>
          </w:p>
        </w:tc>
        <w:tc>
          <w:tcPr>
            <w:tcW w:type="dxa" w:w="2520"/>
            <w:tcMar>
              <w:top w:w="90" w:type="dxa"/>
              <w:start w:w="100" w:type="dxa"/>
              <w:bottom w:w="90" w:type="dxa"/>
              <w:end w:w="100" w:type="dxa"/>
            </w:tcMar>
            <w:vAlign w:val="center"/>
          </w:tcPr>
          <w:p>
            <w:pPr>
              <w:spacing w:after="0"/>
            </w:pPr>
            <w:r>
              <w:rPr>
                <w:sz w:val="15"/>
              </w:rPr>
              <w:t>Deliver the full industry fantasy.</w:t>
            </w:r>
          </w:p>
        </w:tc>
      </w:tr>
      <w:tr>
        <w:trPr>
          <w:cantSplit/>
        </w:trPr>
        <w:tc>
          <w:tcPr>
            <w:tcW w:type="dxa" w:w="2088"/>
            <w:tcMar>
              <w:top w:w="90" w:type="dxa"/>
              <w:start w:w="100" w:type="dxa"/>
              <w:bottom w:w="90" w:type="dxa"/>
              <w:end w:w="100" w:type="dxa"/>
            </w:tcMar>
            <w:vAlign w:val="center"/>
          </w:tcPr>
          <w:p>
            <w:pPr>
              <w:spacing w:after="0"/>
            </w:pPr>
            <w:r>
              <w:rPr>
                <w:sz w:val="15"/>
              </w:rPr>
              <w:t>Phase 4 — Historical depth and global options</w:t>
            </w:r>
          </w:p>
        </w:tc>
        <w:tc>
          <w:tcPr>
            <w:tcW w:type="dxa" w:w="5472"/>
            <w:tcMar>
              <w:top w:w="90" w:type="dxa"/>
              <w:start w:w="100" w:type="dxa"/>
              <w:bottom w:w="90" w:type="dxa"/>
              <w:end w:w="100" w:type="dxa"/>
            </w:tcMar>
            <w:vAlign w:val="center"/>
          </w:tcPr>
          <w:p>
            <w:pPr>
              <w:spacing w:after="0"/>
            </w:pPr>
            <w:r>
              <w:rPr>
                <w:sz w:val="15"/>
              </w:rPr>
              <w:t>Decades, ownership eras, international markets, imports/remakes, global streaming, deeper regulation and technology transitions.</w:t>
            </w:r>
          </w:p>
        </w:tc>
        <w:tc>
          <w:tcPr>
            <w:tcW w:type="dxa" w:w="2520"/>
            <w:tcMar>
              <w:top w:w="90" w:type="dxa"/>
              <w:start w:w="100" w:type="dxa"/>
              <w:bottom w:w="90" w:type="dxa"/>
              <w:end w:w="100" w:type="dxa"/>
            </w:tcMar>
            <w:vAlign w:val="center"/>
          </w:tcPr>
          <w:p>
            <w:pPr>
              <w:spacing w:after="0"/>
            </w:pPr>
            <w:r>
              <w:rPr>
                <w:sz w:val="15"/>
              </w:rPr>
              <w:t>Create a long-running Chronicle universe.</w:t>
            </w:r>
          </w:p>
        </w:tc>
      </w:tr>
    </w:tbl>
    <w:p>
      <w:pPr>
        <w:spacing w:after="0"/>
      </w:pPr>
    </w:p>
    <w:p>
      <w:pPr>
        <w:pStyle w:val="Heading2"/>
      </w:pPr>
      <w:r>
        <w:t>23.1 Recommended first-build priorities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008"/>
            <w:shd w:fill="1F4E79"/>
            <w:tcMar>
              <w:top w:w="90" w:type="dxa"/>
              <w:start w:w="100" w:type="dxa"/>
              <w:bottom w:w="90" w:type="dxa"/>
              <w:end w:w="100" w:type="dxa"/>
            </w:tcMar>
            <w:vAlign w:val="center"/>
          </w:tcPr>
          <w:p>
            <w:pPr>
              <w:jc w:val="center"/>
            </w:pPr>
            <w:r>
              <w:rPr>
                <w:b/>
                <w:color w:val="FFFFFF"/>
                <w:sz w:val="17"/>
              </w:rPr>
              <w:t>Priority</w:t>
            </w:r>
          </w:p>
        </w:tc>
        <w:tc>
          <w:tcPr>
            <w:tcW w:type="dxa" w:w="9072"/>
            <w:shd w:fill="1F4E79"/>
            <w:tcMar>
              <w:top w:w="90" w:type="dxa"/>
              <w:start w:w="100" w:type="dxa"/>
              <w:bottom w:w="90" w:type="dxa"/>
              <w:end w:w="100" w:type="dxa"/>
            </w:tcMar>
            <w:vAlign w:val="center"/>
          </w:tcPr>
          <w:p>
            <w:pPr>
              <w:jc w:val="center"/>
            </w:pPr>
            <w:r>
              <w:rPr>
                <w:b/>
                <w:color w:val="FFFFFF"/>
                <w:sz w:val="17"/>
              </w:rPr>
              <w:t>System</w:t>
            </w:r>
          </w:p>
        </w:tc>
      </w:tr>
      <w:tr>
        <w:trPr>
          <w:cantSplit/>
        </w:trPr>
        <w:tc>
          <w:tcPr>
            <w:tcW w:type="dxa" w:w="1008"/>
            <w:tcMar>
              <w:top w:w="90" w:type="dxa"/>
              <w:start w:w="100" w:type="dxa"/>
              <w:bottom w:w="90" w:type="dxa"/>
              <w:end w:w="100" w:type="dxa"/>
            </w:tcMar>
            <w:vAlign w:val="center"/>
          </w:tcPr>
          <w:p>
            <w:pPr>
              <w:spacing w:after="0"/>
            </w:pPr>
            <w:r>
              <w:rPr>
                <w:sz w:val="17"/>
              </w:rPr>
              <w:t>1</w:t>
            </w:r>
          </w:p>
        </w:tc>
        <w:tc>
          <w:tcPr>
            <w:tcW w:type="dxa" w:w="9072"/>
            <w:tcMar>
              <w:top w:w="90" w:type="dxa"/>
              <w:start w:w="100" w:type="dxa"/>
              <w:bottom w:w="90" w:type="dxa"/>
              <w:end w:w="100" w:type="dxa"/>
            </w:tcMar>
            <w:vAlign w:val="center"/>
          </w:tcPr>
          <w:p>
            <w:pPr>
              <w:spacing w:after="0"/>
            </w:pPr>
            <w:r>
              <w:rPr>
                <w:sz w:val="17"/>
              </w:rPr>
              <w:t>Weekly executive loop and persistent world</w:t>
            </w:r>
          </w:p>
        </w:tc>
      </w:tr>
      <w:tr>
        <w:trPr>
          <w:cantSplit/>
        </w:trPr>
        <w:tc>
          <w:tcPr>
            <w:tcW w:type="dxa" w:w="1008"/>
            <w:tcMar>
              <w:top w:w="90" w:type="dxa"/>
              <w:start w:w="100" w:type="dxa"/>
              <w:bottom w:w="90" w:type="dxa"/>
              <w:end w:w="100" w:type="dxa"/>
            </w:tcMar>
            <w:vAlign w:val="center"/>
          </w:tcPr>
          <w:p>
            <w:pPr>
              <w:spacing w:after="0"/>
            </w:pPr>
            <w:r>
              <w:rPr>
                <w:sz w:val="17"/>
              </w:rPr>
              <w:t>2</w:t>
            </w:r>
          </w:p>
        </w:tc>
        <w:tc>
          <w:tcPr>
            <w:tcW w:type="dxa" w:w="9072"/>
            <w:tcMar>
              <w:top w:w="90" w:type="dxa"/>
              <w:start w:w="100" w:type="dxa"/>
              <w:bottom w:w="90" w:type="dxa"/>
              <w:end w:w="100" w:type="dxa"/>
            </w:tcMar>
            <w:vAlign w:val="center"/>
          </w:tcPr>
          <w:p>
            <w:pPr>
              <w:spacing w:after="0"/>
            </w:pPr>
            <w:r>
              <w:rPr>
                <w:sz w:val="17"/>
              </w:rPr>
              <w:t>Outlook-style schedule with dayparts and audience flow</w:t>
            </w:r>
          </w:p>
        </w:tc>
      </w:tr>
      <w:tr>
        <w:trPr>
          <w:cantSplit/>
        </w:trPr>
        <w:tc>
          <w:tcPr>
            <w:tcW w:type="dxa" w:w="1008"/>
            <w:tcMar>
              <w:top w:w="90" w:type="dxa"/>
              <w:start w:w="100" w:type="dxa"/>
              <w:bottom w:w="90" w:type="dxa"/>
              <w:end w:w="100" w:type="dxa"/>
            </w:tcMar>
            <w:vAlign w:val="center"/>
          </w:tcPr>
          <w:p>
            <w:pPr>
              <w:spacing w:after="0"/>
            </w:pPr>
            <w:r>
              <w:rPr>
                <w:sz w:val="17"/>
              </w:rPr>
              <w:t>3</w:t>
            </w:r>
          </w:p>
        </w:tc>
        <w:tc>
          <w:tcPr>
            <w:tcW w:type="dxa" w:w="9072"/>
            <w:tcMar>
              <w:top w:w="90" w:type="dxa"/>
              <w:start w:w="100" w:type="dxa"/>
              <w:bottom w:w="90" w:type="dxa"/>
              <w:end w:w="100" w:type="dxa"/>
            </w:tcMar>
            <w:vAlign w:val="center"/>
          </w:tcPr>
          <w:p>
            <w:pPr>
              <w:spacing w:after="0"/>
            </w:pPr>
            <w:r>
              <w:rPr>
                <w:sz w:val="17"/>
              </w:rPr>
              <w:t>Project → script → production → available-content pipeline</w:t>
            </w:r>
          </w:p>
        </w:tc>
      </w:tr>
      <w:tr>
        <w:trPr>
          <w:cantSplit/>
        </w:trPr>
        <w:tc>
          <w:tcPr>
            <w:tcW w:type="dxa" w:w="1008"/>
            <w:tcMar>
              <w:top w:w="90" w:type="dxa"/>
              <w:start w:w="100" w:type="dxa"/>
              <w:bottom w:w="90" w:type="dxa"/>
              <w:end w:w="100" w:type="dxa"/>
            </w:tcMar>
            <w:vAlign w:val="center"/>
          </w:tcPr>
          <w:p>
            <w:pPr>
              <w:spacing w:after="0"/>
            </w:pPr>
            <w:r>
              <w:rPr>
                <w:sz w:val="17"/>
              </w:rPr>
              <w:t>4</w:t>
            </w:r>
          </w:p>
        </w:tc>
        <w:tc>
          <w:tcPr>
            <w:tcW w:type="dxa" w:w="9072"/>
            <w:tcMar>
              <w:top w:w="90" w:type="dxa"/>
              <w:start w:w="100" w:type="dxa"/>
              <w:bottom w:w="90" w:type="dxa"/>
              <w:end w:w="100" w:type="dxa"/>
            </w:tcMar>
            <w:vAlign w:val="center"/>
          </w:tcPr>
          <w:p>
            <w:pPr>
              <w:spacing w:after="0"/>
            </w:pPr>
            <w:r>
              <w:rPr>
                <w:sz w:val="17"/>
              </w:rPr>
              <w:t>Talent search, offers, rarity, fit, and specialization</w:t>
            </w:r>
          </w:p>
        </w:tc>
      </w:tr>
      <w:tr>
        <w:trPr>
          <w:cantSplit/>
        </w:trPr>
        <w:tc>
          <w:tcPr>
            <w:tcW w:type="dxa" w:w="1008"/>
            <w:tcMar>
              <w:top w:w="90" w:type="dxa"/>
              <w:start w:w="100" w:type="dxa"/>
              <w:bottom w:w="90" w:type="dxa"/>
              <w:end w:w="100" w:type="dxa"/>
            </w:tcMar>
            <w:vAlign w:val="center"/>
          </w:tcPr>
          <w:p>
            <w:pPr>
              <w:spacing w:after="0"/>
            </w:pPr>
            <w:r>
              <w:rPr>
                <w:sz w:val="17"/>
              </w:rPr>
              <w:t>5</w:t>
            </w:r>
          </w:p>
        </w:tc>
        <w:tc>
          <w:tcPr>
            <w:tcW w:type="dxa" w:w="9072"/>
            <w:tcMar>
              <w:top w:w="90" w:type="dxa"/>
              <w:start w:w="100" w:type="dxa"/>
              <w:bottom w:w="90" w:type="dxa"/>
              <w:end w:w="100" w:type="dxa"/>
            </w:tcMar>
            <w:vAlign w:val="center"/>
          </w:tcPr>
          <w:p>
            <w:pPr>
              <w:spacing w:after="0"/>
            </w:pPr>
            <w:r>
              <w:rPr>
                <w:sz w:val="17"/>
              </w:rPr>
              <w:t>Local/regional reach through infrastructure and agreements</w:t>
            </w:r>
          </w:p>
        </w:tc>
      </w:tr>
      <w:tr>
        <w:trPr>
          <w:cantSplit/>
        </w:trPr>
        <w:tc>
          <w:tcPr>
            <w:tcW w:type="dxa" w:w="1008"/>
            <w:tcMar>
              <w:top w:w="90" w:type="dxa"/>
              <w:start w:w="100" w:type="dxa"/>
              <w:bottom w:w="90" w:type="dxa"/>
              <w:end w:w="100" w:type="dxa"/>
            </w:tcMar>
            <w:vAlign w:val="center"/>
          </w:tcPr>
          <w:p>
            <w:pPr>
              <w:spacing w:after="0"/>
            </w:pPr>
            <w:r>
              <w:rPr>
                <w:sz w:val="17"/>
              </w:rPr>
              <w:t>6</w:t>
            </w:r>
          </w:p>
        </w:tc>
        <w:tc>
          <w:tcPr>
            <w:tcW w:type="dxa" w:w="9072"/>
            <w:tcMar>
              <w:top w:w="90" w:type="dxa"/>
              <w:start w:w="100" w:type="dxa"/>
              <w:bottom w:w="90" w:type="dxa"/>
              <w:end w:w="100" w:type="dxa"/>
            </w:tcMar>
            <w:vAlign w:val="center"/>
          </w:tcPr>
          <w:p>
            <w:pPr>
              <w:spacing w:after="0"/>
            </w:pPr>
            <w:r>
              <w:rPr>
                <w:sz w:val="17"/>
              </w:rPr>
              <w:t>Rights packages for movies and one or two sports tiers</w:t>
            </w:r>
          </w:p>
        </w:tc>
      </w:tr>
      <w:tr>
        <w:trPr>
          <w:cantSplit/>
        </w:trPr>
        <w:tc>
          <w:tcPr>
            <w:tcW w:type="dxa" w:w="1008"/>
            <w:tcMar>
              <w:top w:w="90" w:type="dxa"/>
              <w:start w:w="100" w:type="dxa"/>
              <w:bottom w:w="90" w:type="dxa"/>
              <w:end w:w="100" w:type="dxa"/>
            </w:tcMar>
            <w:vAlign w:val="center"/>
          </w:tcPr>
          <w:p>
            <w:pPr>
              <w:spacing w:after="0"/>
            </w:pPr>
            <w:r>
              <w:rPr>
                <w:sz w:val="17"/>
              </w:rPr>
              <w:t>7</w:t>
            </w:r>
          </w:p>
        </w:tc>
        <w:tc>
          <w:tcPr>
            <w:tcW w:type="dxa" w:w="9072"/>
            <w:tcMar>
              <w:top w:w="90" w:type="dxa"/>
              <w:start w:w="100" w:type="dxa"/>
              <w:bottom w:w="90" w:type="dxa"/>
              <w:end w:w="100" w:type="dxa"/>
            </w:tcMar>
            <w:vAlign w:val="center"/>
          </w:tcPr>
          <w:p>
            <w:pPr>
              <w:spacing w:after="0"/>
            </w:pPr>
            <w:r>
              <w:rPr>
                <w:sz w:val="17"/>
              </w:rPr>
              <w:t>Ratings, reviews, MTD/YTD competitor rankings</w:t>
            </w:r>
          </w:p>
        </w:tc>
      </w:tr>
      <w:tr>
        <w:trPr>
          <w:cantSplit/>
        </w:trPr>
        <w:tc>
          <w:tcPr>
            <w:tcW w:type="dxa" w:w="1008"/>
            <w:tcMar>
              <w:top w:w="90" w:type="dxa"/>
              <w:start w:w="100" w:type="dxa"/>
              <w:bottom w:w="90" w:type="dxa"/>
              <w:end w:w="100" w:type="dxa"/>
            </w:tcMar>
            <w:vAlign w:val="center"/>
          </w:tcPr>
          <w:p>
            <w:pPr>
              <w:spacing w:after="0"/>
            </w:pPr>
            <w:r>
              <w:rPr>
                <w:sz w:val="17"/>
              </w:rPr>
              <w:t>8</w:t>
            </w:r>
          </w:p>
        </w:tc>
        <w:tc>
          <w:tcPr>
            <w:tcW w:type="dxa" w:w="9072"/>
            <w:tcMar>
              <w:top w:w="90" w:type="dxa"/>
              <w:start w:w="100" w:type="dxa"/>
              <w:bottom w:w="90" w:type="dxa"/>
              <w:end w:w="100" w:type="dxa"/>
            </w:tcMar>
            <w:vAlign w:val="center"/>
          </w:tcPr>
          <w:p>
            <w:pPr>
              <w:spacing w:after="0"/>
            </w:pPr>
            <w:r>
              <w:rPr>
                <w:sz w:val="17"/>
              </w:rPr>
              <w:t>Decision-driven production cost and facility constraints</w:t>
            </w:r>
          </w:p>
        </w:tc>
      </w:tr>
      <w:tr>
        <w:trPr>
          <w:cantSplit/>
        </w:trPr>
        <w:tc>
          <w:tcPr>
            <w:tcW w:type="dxa" w:w="1008"/>
            <w:tcMar>
              <w:top w:w="90" w:type="dxa"/>
              <w:start w:w="100" w:type="dxa"/>
              <w:bottom w:w="90" w:type="dxa"/>
              <w:end w:w="100" w:type="dxa"/>
            </w:tcMar>
            <w:vAlign w:val="center"/>
          </w:tcPr>
          <w:p>
            <w:pPr>
              <w:spacing w:after="0"/>
            </w:pPr>
            <w:r>
              <w:rPr>
                <w:sz w:val="17"/>
              </w:rPr>
              <w:t>9</w:t>
            </w:r>
          </w:p>
        </w:tc>
        <w:tc>
          <w:tcPr>
            <w:tcW w:type="dxa" w:w="9072"/>
            <w:tcMar>
              <w:top w:w="90" w:type="dxa"/>
              <w:start w:w="100" w:type="dxa"/>
              <w:bottom w:w="90" w:type="dxa"/>
              <w:end w:w="100" w:type="dxa"/>
            </w:tcMar>
            <w:vAlign w:val="center"/>
          </w:tcPr>
          <w:p>
            <w:pPr>
              <w:spacing w:after="0"/>
            </w:pPr>
            <w:r>
              <w:rPr>
                <w:sz w:val="17"/>
              </w:rPr>
              <w:t>Narrative Chronicle and historical records</w:t>
            </w:r>
          </w:p>
        </w:tc>
      </w:tr>
      <w:tr>
        <w:trPr>
          <w:cantSplit/>
        </w:trPr>
        <w:tc>
          <w:tcPr>
            <w:tcW w:type="dxa" w:w="1008"/>
            <w:tcMar>
              <w:top w:w="90" w:type="dxa"/>
              <w:start w:w="100" w:type="dxa"/>
              <w:bottom w:w="90" w:type="dxa"/>
              <w:end w:w="100" w:type="dxa"/>
            </w:tcMar>
            <w:vAlign w:val="center"/>
          </w:tcPr>
          <w:p>
            <w:pPr>
              <w:spacing w:after="0"/>
            </w:pPr>
            <w:r>
              <w:rPr>
                <w:sz w:val="17"/>
              </w:rPr>
              <w:t>10</w:t>
            </w:r>
          </w:p>
        </w:tc>
        <w:tc>
          <w:tcPr>
            <w:tcW w:type="dxa" w:w="9072"/>
            <w:tcMar>
              <w:top w:w="90" w:type="dxa"/>
              <w:start w:w="100" w:type="dxa"/>
              <w:bottom w:w="90" w:type="dxa"/>
              <w:end w:w="100" w:type="dxa"/>
            </w:tcMar>
            <w:vAlign w:val="center"/>
          </w:tcPr>
          <w:p>
            <w:pPr>
              <w:spacing w:after="0"/>
            </w:pPr>
            <w:r>
              <w:rPr>
                <w:sz w:val="17"/>
              </w:rPr>
              <w:t>Compact local save architecture and responsive web UI</w:t>
            </w:r>
          </w:p>
        </w:tc>
      </w:tr>
    </w:tbl>
    <w:p>
      <w:pPr>
        <w:spacing w:after="0"/>
      </w:pPr>
    </w:p>
    <w:p>
      <w:pPr>
        <w:pStyle w:val="Heading1"/>
      </w:pPr>
      <w:r>
        <w:t>24. Example First-Year Journey</w:t>
      </w:r>
    </w:p>
    <w:p>
      <w:r>
        <w:t>The campaign begins in January with Lakefront 8, a small independent station based in northern Illinois. Its signal reaches roughly 700,000 households, but awareness is uneven outside its home counties. It owns one aging studio, a basic newsroom, a transmission site, and a weak movie package. Its most recognizable asset is a respected local weather presenter.</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00"/>
            <w:shd w:fill="1F4E79"/>
            <w:tcMar>
              <w:top w:w="90" w:type="dxa"/>
              <w:start w:w="100" w:type="dxa"/>
              <w:bottom w:w="90" w:type="dxa"/>
              <w:end w:w="100" w:type="dxa"/>
            </w:tcMar>
            <w:vAlign w:val="center"/>
          </w:tcPr>
          <w:p>
            <w:pPr>
              <w:jc w:val="center"/>
            </w:pPr>
            <w:r>
              <w:rPr>
                <w:b/>
                <w:color w:val="FFFFFF"/>
                <w:sz w:val="16"/>
              </w:rPr>
              <w:t>Period</w:t>
            </w:r>
          </w:p>
        </w:tc>
        <w:tc>
          <w:tcPr>
            <w:tcW w:type="dxa" w:w="8280"/>
            <w:shd w:fill="1F4E79"/>
            <w:tcMar>
              <w:top w:w="90" w:type="dxa"/>
              <w:start w:w="100" w:type="dxa"/>
              <w:bottom w:w="90" w:type="dxa"/>
              <w:end w:w="100" w:type="dxa"/>
            </w:tcMar>
            <w:vAlign w:val="center"/>
          </w:tcPr>
          <w:p>
            <w:pPr>
              <w:jc w:val="center"/>
            </w:pPr>
            <w:r>
              <w:rPr>
                <w:b/>
                <w:color w:val="FFFFFF"/>
                <w:sz w:val="16"/>
              </w:rPr>
              <w:t>Illustrative play</w:t>
            </w:r>
          </w:p>
        </w:tc>
      </w:tr>
      <w:tr>
        <w:trPr>
          <w:cantSplit/>
        </w:trPr>
        <w:tc>
          <w:tcPr>
            <w:tcW w:type="dxa" w:w="1800"/>
            <w:tcMar>
              <w:top w:w="90" w:type="dxa"/>
              <w:start w:w="100" w:type="dxa"/>
              <w:bottom w:w="90" w:type="dxa"/>
              <w:end w:w="100" w:type="dxa"/>
            </w:tcMar>
            <w:vAlign w:val="center"/>
          </w:tcPr>
          <w:p>
            <w:pPr>
              <w:spacing w:after="0"/>
            </w:pPr>
            <w:r>
              <w:rPr>
                <w:sz w:val="16"/>
              </w:rPr>
              <w:t>January–February</w:t>
            </w:r>
          </w:p>
        </w:tc>
        <w:tc>
          <w:tcPr>
            <w:tcW w:type="dxa" w:w="8280"/>
            <w:tcMar>
              <w:top w:w="90" w:type="dxa"/>
              <w:start w:w="100" w:type="dxa"/>
              <w:bottom w:w="90" w:type="dxa"/>
              <w:end w:w="100" w:type="dxa"/>
            </w:tcMar>
            <w:vAlign w:val="center"/>
          </w:tcPr>
          <w:p>
            <w:pPr>
              <w:spacing w:after="0"/>
            </w:pPr>
            <w:r>
              <w:rPr>
                <w:sz w:val="16"/>
              </w:rPr>
              <w:t>The player studies MTD rankings, renews the local morning show, creates a family quiz concept, hires an Uncommon host with strong warmth, and assigns two writers. A regional college-basketball package becomes available.</w:t>
            </w:r>
          </w:p>
        </w:tc>
      </w:tr>
      <w:tr>
        <w:trPr>
          <w:cantSplit/>
        </w:trPr>
        <w:tc>
          <w:tcPr>
            <w:tcW w:type="dxa" w:w="1800"/>
            <w:tcMar>
              <w:top w:w="90" w:type="dxa"/>
              <w:start w:w="100" w:type="dxa"/>
              <w:bottom w:w="90" w:type="dxa"/>
              <w:end w:w="100" w:type="dxa"/>
            </w:tcMar>
            <w:vAlign w:val="center"/>
          </w:tcPr>
          <w:p>
            <w:pPr>
              <w:spacing w:after="0"/>
            </w:pPr>
            <w:r>
              <w:rPr>
                <w:sz w:val="16"/>
              </w:rPr>
              <w:t>March</w:t>
            </w:r>
          </w:p>
        </w:tc>
        <w:tc>
          <w:tcPr>
            <w:tcW w:type="dxa" w:w="8280"/>
            <w:tcMar>
              <w:top w:w="90" w:type="dxa"/>
              <w:start w:w="100" w:type="dxa"/>
              <w:bottom w:w="90" w:type="dxa"/>
              <w:end w:w="100" w:type="dxa"/>
            </w:tcMar>
            <w:vAlign w:val="center"/>
          </w:tcPr>
          <w:p>
            <w:pPr>
              <w:spacing w:after="0"/>
            </w:pPr>
            <w:r>
              <w:rPr>
                <w:sz w:val="16"/>
              </w:rPr>
              <w:t>The quiz script returns at 4/5 quality and recommends one host, two recurring experts, a flexible family set, original theme music, and moderate graphics. The player spends on the set but uses library music.</w:t>
            </w:r>
          </w:p>
        </w:tc>
      </w:tr>
      <w:tr>
        <w:trPr>
          <w:cantSplit/>
        </w:trPr>
        <w:tc>
          <w:tcPr>
            <w:tcW w:type="dxa" w:w="1800"/>
            <w:tcMar>
              <w:top w:w="90" w:type="dxa"/>
              <w:start w:w="100" w:type="dxa"/>
              <w:bottom w:w="90" w:type="dxa"/>
              <w:end w:w="100" w:type="dxa"/>
            </w:tcMar>
            <w:vAlign w:val="center"/>
          </w:tcPr>
          <w:p>
            <w:pPr>
              <w:spacing w:after="0"/>
            </w:pPr>
            <w:r>
              <w:rPr>
                <w:sz w:val="16"/>
              </w:rPr>
              <w:t>April</w:t>
            </w:r>
          </w:p>
        </w:tc>
        <w:tc>
          <w:tcPr>
            <w:tcW w:type="dxa" w:w="8280"/>
            <w:tcMar>
              <w:top w:w="90" w:type="dxa"/>
              <w:start w:w="100" w:type="dxa"/>
              <w:bottom w:w="90" w:type="dxa"/>
              <w:end w:w="100" w:type="dxa"/>
            </w:tcMar>
            <w:vAlign w:val="center"/>
          </w:tcPr>
          <w:p>
            <w:pPr>
              <w:spacing w:after="0"/>
            </w:pPr>
            <w:r>
              <w:rPr>
                <w:sz w:val="16"/>
              </w:rPr>
              <w:t>Production begins. The player acquires basketball rights for Illinois and Wisconsin but lacks Wisconsin distribution, creating pressure to negotiate a Madison affiliate.</w:t>
            </w:r>
          </w:p>
        </w:tc>
      </w:tr>
      <w:tr>
        <w:trPr>
          <w:cantSplit/>
        </w:trPr>
        <w:tc>
          <w:tcPr>
            <w:tcW w:type="dxa" w:w="1800"/>
            <w:tcMar>
              <w:top w:w="90" w:type="dxa"/>
              <w:start w:w="100" w:type="dxa"/>
              <w:bottom w:w="90" w:type="dxa"/>
              <w:end w:w="100" w:type="dxa"/>
            </w:tcMar>
            <w:vAlign w:val="center"/>
          </w:tcPr>
          <w:p>
            <w:pPr>
              <w:spacing w:after="0"/>
            </w:pPr>
            <w:r>
              <w:rPr>
                <w:sz w:val="16"/>
              </w:rPr>
              <w:t>May</w:t>
            </w:r>
          </w:p>
        </w:tc>
        <w:tc>
          <w:tcPr>
            <w:tcW w:type="dxa" w:w="8280"/>
            <w:tcMar>
              <w:top w:w="90" w:type="dxa"/>
              <w:start w:w="100" w:type="dxa"/>
              <w:bottom w:w="90" w:type="dxa"/>
              <w:end w:w="100" w:type="dxa"/>
            </w:tcMar>
            <w:vAlign w:val="center"/>
          </w:tcPr>
          <w:p>
            <w:pPr>
              <w:spacing w:after="0"/>
            </w:pPr>
            <w:r>
              <w:rPr>
                <w:sz w:val="16"/>
              </w:rPr>
              <w:t>The affiliate agrees to carry the sports events and two prime-time programs in exchange for local ad inventory. Lakefront 8’s potential reach grows, but its regular schedule is still mostly unavailable there.</w:t>
            </w:r>
          </w:p>
        </w:tc>
      </w:tr>
      <w:tr>
        <w:trPr>
          <w:cantSplit/>
        </w:trPr>
        <w:tc>
          <w:tcPr>
            <w:tcW w:type="dxa" w:w="1800"/>
            <w:tcMar>
              <w:top w:w="90" w:type="dxa"/>
              <w:start w:w="100" w:type="dxa"/>
              <w:bottom w:w="90" w:type="dxa"/>
              <w:end w:w="100" w:type="dxa"/>
            </w:tcMar>
            <w:vAlign w:val="center"/>
          </w:tcPr>
          <w:p>
            <w:pPr>
              <w:spacing w:after="0"/>
            </w:pPr>
            <w:r>
              <w:rPr>
                <w:sz w:val="16"/>
              </w:rPr>
              <w:t>June</w:t>
            </w:r>
          </w:p>
        </w:tc>
        <w:tc>
          <w:tcPr>
            <w:tcW w:type="dxa" w:w="8280"/>
            <w:tcMar>
              <w:top w:w="90" w:type="dxa"/>
              <w:start w:w="100" w:type="dxa"/>
              <w:bottom w:w="90" w:type="dxa"/>
              <w:end w:w="100" w:type="dxa"/>
            </w:tcMar>
            <w:vAlign w:val="center"/>
          </w:tcPr>
          <w:p>
            <w:pPr>
              <w:spacing w:after="0"/>
            </w:pPr>
            <w:r>
              <w:rPr>
                <w:sz w:val="16"/>
              </w:rPr>
              <w:t>The quiz premieres after a strong local-news lead-in. It becomes the market’s No. 2 family program and creates a breakout host. MTD prime-time share rises from sixth to fourth.</w:t>
            </w:r>
          </w:p>
        </w:tc>
      </w:tr>
      <w:tr>
        <w:trPr>
          <w:cantSplit/>
        </w:trPr>
        <w:tc>
          <w:tcPr>
            <w:tcW w:type="dxa" w:w="1800"/>
            <w:tcMar>
              <w:top w:w="90" w:type="dxa"/>
              <w:start w:w="100" w:type="dxa"/>
              <w:bottom w:w="90" w:type="dxa"/>
              <w:end w:w="100" w:type="dxa"/>
            </w:tcMar>
            <w:vAlign w:val="center"/>
          </w:tcPr>
          <w:p>
            <w:pPr>
              <w:spacing w:after="0"/>
            </w:pPr>
            <w:r>
              <w:rPr>
                <w:sz w:val="16"/>
              </w:rPr>
              <w:t>July–August</w:t>
            </w:r>
          </w:p>
        </w:tc>
        <w:tc>
          <w:tcPr>
            <w:tcW w:type="dxa" w:w="8280"/>
            <w:tcMar>
              <w:top w:w="90" w:type="dxa"/>
              <w:start w:w="100" w:type="dxa"/>
              <w:bottom w:w="90" w:type="dxa"/>
              <w:end w:w="100" w:type="dxa"/>
            </w:tcMar>
            <w:vAlign w:val="center"/>
          </w:tcPr>
          <w:p>
            <w:pPr>
              <w:spacing w:after="0"/>
            </w:pPr>
            <w:r>
              <w:rPr>
                <w:sz w:val="16"/>
              </w:rPr>
              <w:t>A competitor poaches one of the station’s news reporters. The player can overpay, promote a young internal journalist, or recruit a regional anchor. The internal candidate is only Uncommon but has deep local credibility.</w:t>
            </w:r>
          </w:p>
        </w:tc>
      </w:tr>
      <w:tr>
        <w:trPr>
          <w:cantSplit/>
        </w:trPr>
        <w:tc>
          <w:tcPr>
            <w:tcW w:type="dxa" w:w="1800"/>
            <w:tcMar>
              <w:top w:w="90" w:type="dxa"/>
              <w:start w:w="100" w:type="dxa"/>
              <w:bottom w:w="90" w:type="dxa"/>
              <w:end w:w="100" w:type="dxa"/>
            </w:tcMar>
            <w:vAlign w:val="center"/>
          </w:tcPr>
          <w:p>
            <w:pPr>
              <w:spacing w:after="0"/>
            </w:pPr>
            <w:r>
              <w:rPr>
                <w:sz w:val="16"/>
              </w:rPr>
              <w:t>September</w:t>
            </w:r>
          </w:p>
        </w:tc>
        <w:tc>
          <w:tcPr>
            <w:tcW w:type="dxa" w:w="8280"/>
            <w:tcMar>
              <w:top w:w="90" w:type="dxa"/>
              <w:start w:w="100" w:type="dxa"/>
              <w:bottom w:w="90" w:type="dxa"/>
              <w:end w:w="100" w:type="dxa"/>
            </w:tcMar>
            <w:vAlign w:val="center"/>
          </w:tcPr>
          <w:p>
            <w:pPr>
              <w:spacing w:after="0"/>
            </w:pPr>
            <w:r>
              <w:rPr>
                <w:sz w:val="16"/>
              </w:rPr>
              <w:t>Basketball launches and delivers the station’s largest audience ever. Cable operators in two neighboring markets become willing to negotiate carriage, but request a stronger evening schedule.</w:t>
            </w:r>
          </w:p>
        </w:tc>
      </w:tr>
      <w:tr>
        <w:trPr>
          <w:cantSplit/>
        </w:trPr>
        <w:tc>
          <w:tcPr>
            <w:tcW w:type="dxa" w:w="1800"/>
            <w:tcMar>
              <w:top w:w="90" w:type="dxa"/>
              <w:start w:w="100" w:type="dxa"/>
              <w:bottom w:w="90" w:type="dxa"/>
              <w:end w:w="100" w:type="dxa"/>
            </w:tcMar>
            <w:vAlign w:val="center"/>
          </w:tcPr>
          <w:p>
            <w:pPr>
              <w:spacing w:after="0"/>
            </w:pPr>
            <w:r>
              <w:rPr>
                <w:sz w:val="16"/>
              </w:rPr>
              <w:t>October</w:t>
            </w:r>
          </w:p>
        </w:tc>
        <w:tc>
          <w:tcPr>
            <w:tcW w:type="dxa" w:w="8280"/>
            <w:tcMar>
              <w:top w:w="90" w:type="dxa"/>
              <w:start w:w="100" w:type="dxa"/>
              <w:bottom w:w="90" w:type="dxa"/>
              <w:end w:w="100" w:type="dxa"/>
            </w:tcMar>
            <w:vAlign w:val="center"/>
          </w:tcPr>
          <w:p>
            <w:pPr>
              <w:spacing w:after="0"/>
            </w:pPr>
            <w:r>
              <w:rPr>
                <w:sz w:val="16"/>
              </w:rPr>
              <w:t>The player commissions a police procedural with standalone episodes to support syndication. The first script is only 2/5. The choice is to rewrite with a better showrunner, produce cheaply, sell the concept, or cancel.</w:t>
            </w:r>
          </w:p>
        </w:tc>
      </w:tr>
      <w:tr>
        <w:trPr>
          <w:cantSplit/>
        </w:trPr>
        <w:tc>
          <w:tcPr>
            <w:tcW w:type="dxa" w:w="1800"/>
            <w:tcMar>
              <w:top w:w="90" w:type="dxa"/>
              <w:start w:w="100" w:type="dxa"/>
              <w:bottom w:w="90" w:type="dxa"/>
              <w:end w:w="100" w:type="dxa"/>
            </w:tcMar>
            <w:vAlign w:val="center"/>
          </w:tcPr>
          <w:p>
            <w:pPr>
              <w:spacing w:after="0"/>
            </w:pPr>
            <w:r>
              <w:rPr>
                <w:sz w:val="16"/>
              </w:rPr>
              <w:t>November–December</w:t>
            </w:r>
          </w:p>
        </w:tc>
        <w:tc>
          <w:tcPr>
            <w:tcW w:type="dxa" w:w="8280"/>
            <w:tcMar>
              <w:top w:w="90" w:type="dxa"/>
              <w:start w:w="100" w:type="dxa"/>
              <w:bottom w:w="90" w:type="dxa"/>
              <w:end w:w="100" w:type="dxa"/>
            </w:tcMar>
            <w:vAlign w:val="center"/>
          </w:tcPr>
          <w:p>
            <w:pPr>
              <w:spacing w:after="0"/>
            </w:pPr>
            <w:r>
              <w:rPr>
                <w:sz w:val="16"/>
              </w:rPr>
              <w:t>The network finishes the year third locally, first in family contests, and fifth regionally. It is not yet a Midwest network, but it has acquired the assets, brand, relationships, talent, and rights that make expansion credible.</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DDEBF7"/>
            <w:tcMar>
              <w:top w:w="120" w:type="dxa"/>
              <w:start w:w="160" w:type="dxa"/>
              <w:bottom w:w="120" w:type="dxa"/>
              <w:end w:w="160" w:type="dxa"/>
            </w:tcMar>
          </w:tcPr>
          <w:p>
            <w:r>
              <w:rPr>
                <w:b/>
                <w:color w:val="1F4E79"/>
              </w:rPr>
              <w:t xml:space="preserve">Definition of success — </w:t>
            </w:r>
            <w:r>
              <w:t>The design succeeds when the player remembers not only that revenue increased, but that a 3-star family quiz rescued Saturday nights, its unknown host became a regional icon, the resulting basketball audience secured Wisconsin carriage, and that expansion changed the company’s identity. The corporate systems must generate history.</w:t>
            </w:r>
          </w:p>
        </w:tc>
      </w:tr>
    </w:tbl>
    <w:p>
      <w:pPr>
        <w:spacing w:after="0"/>
      </w:pPr>
    </w:p>
    <w:p/>
    <w:p>
      <w:pPr>
        <w:jc w:val="center"/>
      </w:pPr>
      <w:r>
        <w:rPr>
          <w:b/>
          <w:color w:val="1F4E79"/>
          <w:sz w:val="20"/>
        </w:rPr>
        <w:t>END OF INITIAL FULL DESIGN</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7882"/>
        <w:sz w:val="16"/>
      </w:rPr>
      <w:t>TV EMPIRE CHRONICLE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A5D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968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2F4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E63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40"/>
    </w:pPr>
    <w:rPr>
      <w:rFonts w:ascii="Aptos" w:hAnsi="Aptos"/>
      <w:b/>
      <w:color w:val="586B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